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CE3972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9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8A11D0" w:rsidRDefault="008A11D0" w:rsidP="002B5084">
      <w:pPr>
        <w:rPr>
          <w:sz w:val="28"/>
          <w:szCs w:val="28"/>
        </w:rPr>
      </w:pPr>
    </w:p>
    <w:p w:rsidR="00A2680A" w:rsidRDefault="008A11D0" w:rsidP="00A2680A">
      <w:pPr>
        <w:jc w:val="center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Информация об итогах проведенного </w:t>
      </w:r>
      <w:r w:rsidR="002B5084">
        <w:rPr>
          <w:b/>
          <w:sz w:val="28"/>
          <w:szCs w:val="28"/>
        </w:rPr>
        <w:t>экспертно-аналитического</w:t>
      </w:r>
      <w:r w:rsidRPr="008A11D0">
        <w:rPr>
          <w:b/>
          <w:sz w:val="28"/>
          <w:szCs w:val="28"/>
        </w:rPr>
        <w:t xml:space="preserve"> мероприятия</w:t>
      </w:r>
      <w:r w:rsidR="002B5084">
        <w:rPr>
          <w:b/>
          <w:sz w:val="28"/>
          <w:szCs w:val="28"/>
        </w:rPr>
        <w:t xml:space="preserve">  </w:t>
      </w:r>
      <w:r w:rsidR="00E67EF1" w:rsidRPr="00E67EF1">
        <w:rPr>
          <w:b/>
          <w:sz w:val="28"/>
          <w:szCs w:val="28"/>
        </w:rPr>
        <w:t>«Анализ и оценка результатов достижения Управлением архитектуры и строительства Администрации городского округа Серпухов целей осуществления закупок товаров, работ, услуг, осуществляемых для обеспечения муниципальных нужд в 2020 году»</w:t>
      </w:r>
    </w:p>
    <w:p w:rsidR="00E67EF1" w:rsidRDefault="00E67EF1" w:rsidP="00A2680A">
      <w:pPr>
        <w:jc w:val="center"/>
        <w:rPr>
          <w:b/>
          <w:sz w:val="28"/>
          <w:szCs w:val="28"/>
        </w:rPr>
      </w:pPr>
    </w:p>
    <w:p w:rsidR="008A11D0" w:rsidRPr="008A11D0" w:rsidRDefault="008A11D0" w:rsidP="00751224">
      <w:pPr>
        <w:ind w:firstLine="708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 xml:space="preserve">1. Основание для проведения </w:t>
      </w:r>
      <w:r w:rsidR="002B5084">
        <w:rPr>
          <w:b/>
          <w:sz w:val="28"/>
          <w:szCs w:val="28"/>
        </w:rPr>
        <w:t>экспертно-аналитического</w:t>
      </w:r>
      <w:r w:rsidRPr="008A11D0">
        <w:rPr>
          <w:b/>
          <w:sz w:val="28"/>
          <w:szCs w:val="28"/>
        </w:rPr>
        <w:t xml:space="preserve"> мероприятия: </w:t>
      </w:r>
      <w:r w:rsidRPr="008A11D0">
        <w:rPr>
          <w:sz w:val="28"/>
          <w:szCs w:val="28"/>
        </w:rPr>
        <w:t xml:space="preserve">пункт </w:t>
      </w:r>
      <w:r w:rsidR="00E67EF1">
        <w:rPr>
          <w:sz w:val="28"/>
          <w:szCs w:val="28"/>
        </w:rPr>
        <w:t xml:space="preserve">1.1. </w:t>
      </w:r>
      <w:r w:rsidRPr="008A11D0">
        <w:rPr>
          <w:sz w:val="28"/>
          <w:szCs w:val="28"/>
        </w:rPr>
        <w:t xml:space="preserve">раздела </w:t>
      </w:r>
      <w:r w:rsidR="002B5084">
        <w:rPr>
          <w:sz w:val="28"/>
          <w:szCs w:val="28"/>
        </w:rPr>
        <w:t>1</w:t>
      </w:r>
      <w:r w:rsidRPr="008A11D0">
        <w:rPr>
          <w:sz w:val="28"/>
          <w:szCs w:val="28"/>
        </w:rPr>
        <w:t xml:space="preserve"> Плана работы Контрольно-счетной палаты городского округа Серпухов на 20</w:t>
      </w:r>
      <w:r w:rsidR="00A2680A">
        <w:rPr>
          <w:sz w:val="28"/>
          <w:szCs w:val="28"/>
        </w:rPr>
        <w:t>2</w:t>
      </w:r>
      <w:r w:rsidR="00E67EF1">
        <w:rPr>
          <w:sz w:val="28"/>
          <w:szCs w:val="28"/>
        </w:rPr>
        <w:t>1 год, утвержденного п</w:t>
      </w:r>
      <w:r w:rsidR="00E67EF1" w:rsidRPr="00E67EF1">
        <w:rPr>
          <w:sz w:val="28"/>
          <w:szCs w:val="28"/>
        </w:rPr>
        <w:t xml:space="preserve">риказом председателя Контрольно-счетной палаты городского округа </w:t>
      </w:r>
      <w:r w:rsidR="00E67EF1">
        <w:rPr>
          <w:sz w:val="28"/>
          <w:szCs w:val="28"/>
        </w:rPr>
        <w:t xml:space="preserve">Серпухов Московской области от 21.12.2020г. </w:t>
      </w:r>
      <w:r w:rsidR="00E67EF1" w:rsidRPr="00E67EF1">
        <w:rPr>
          <w:sz w:val="28"/>
          <w:szCs w:val="28"/>
        </w:rPr>
        <w:t>№ 128 (с изменениями).</w:t>
      </w:r>
    </w:p>
    <w:p w:rsidR="002B5084" w:rsidRDefault="008A11D0" w:rsidP="00A2680A">
      <w:pPr>
        <w:ind w:firstLine="708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 xml:space="preserve">2. Предмет </w:t>
      </w:r>
      <w:r w:rsidR="002B5084">
        <w:rPr>
          <w:b/>
          <w:sz w:val="28"/>
          <w:szCs w:val="28"/>
        </w:rPr>
        <w:t>экспертно-аналитического</w:t>
      </w:r>
      <w:r w:rsidR="002B5084" w:rsidRPr="008A11D0">
        <w:rPr>
          <w:b/>
          <w:sz w:val="28"/>
          <w:szCs w:val="28"/>
        </w:rPr>
        <w:t xml:space="preserve"> </w:t>
      </w:r>
      <w:r w:rsidRPr="008A11D0">
        <w:rPr>
          <w:b/>
          <w:sz w:val="28"/>
          <w:szCs w:val="28"/>
        </w:rPr>
        <w:t>мероприятия:</w:t>
      </w:r>
      <w:r w:rsidRPr="008A11D0">
        <w:rPr>
          <w:sz w:val="28"/>
          <w:szCs w:val="28"/>
        </w:rPr>
        <w:t xml:space="preserve"> </w:t>
      </w:r>
      <w:r w:rsidR="00E67EF1" w:rsidRPr="00E67EF1">
        <w:rPr>
          <w:sz w:val="28"/>
          <w:szCs w:val="28"/>
        </w:rPr>
        <w:t>анализ и оценка результатов достижения Управлением архитектуры и строительства Администрации городского округа Серпухов целей осуществления закупок товаров, работ, услуг, осуществляемых для обеспечения муниципальных нужд в 2020 году.</w:t>
      </w:r>
    </w:p>
    <w:p w:rsidR="008A11D0" w:rsidRPr="008A11D0" w:rsidRDefault="008A11D0" w:rsidP="00A2680A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3. Объекты </w:t>
      </w:r>
      <w:r w:rsidR="002B5084">
        <w:rPr>
          <w:b/>
          <w:sz w:val="28"/>
          <w:szCs w:val="28"/>
        </w:rPr>
        <w:t>экспертно-аналитического</w:t>
      </w:r>
      <w:r w:rsidRPr="008A11D0">
        <w:rPr>
          <w:b/>
          <w:sz w:val="28"/>
          <w:szCs w:val="28"/>
        </w:rPr>
        <w:t xml:space="preserve"> мероприятия: </w:t>
      </w:r>
    </w:p>
    <w:p w:rsidR="00E67EF1" w:rsidRDefault="00E67EF1" w:rsidP="00A2680A">
      <w:pPr>
        <w:ind w:firstLine="708"/>
        <w:jc w:val="both"/>
        <w:rPr>
          <w:sz w:val="28"/>
          <w:szCs w:val="28"/>
        </w:rPr>
      </w:pPr>
      <w:r w:rsidRPr="00E67EF1">
        <w:rPr>
          <w:sz w:val="28"/>
          <w:szCs w:val="28"/>
        </w:rPr>
        <w:t>Управление архитектуры и строительства Администрации городского округа Серпухов.</w:t>
      </w:r>
    </w:p>
    <w:p w:rsidR="008A11D0" w:rsidRPr="008A11D0" w:rsidRDefault="008A11D0" w:rsidP="00A2680A">
      <w:pPr>
        <w:ind w:firstLine="708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>4. Проверяемый период деятельности</w:t>
      </w:r>
      <w:r w:rsidRPr="008A11D0">
        <w:rPr>
          <w:sz w:val="28"/>
          <w:szCs w:val="28"/>
        </w:rPr>
        <w:t xml:space="preserve">: </w:t>
      </w:r>
      <w:r w:rsidR="00E67EF1">
        <w:rPr>
          <w:sz w:val="28"/>
          <w:szCs w:val="28"/>
        </w:rPr>
        <w:t>2020 год.</w:t>
      </w:r>
    </w:p>
    <w:p w:rsidR="00A2680A" w:rsidRDefault="008A11D0" w:rsidP="00A2680A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5. Срок проведения </w:t>
      </w:r>
      <w:r w:rsidR="002B5084">
        <w:rPr>
          <w:b/>
          <w:sz w:val="28"/>
          <w:szCs w:val="28"/>
        </w:rPr>
        <w:t>экспертно-аналитического</w:t>
      </w:r>
      <w:r w:rsidRPr="008A11D0">
        <w:rPr>
          <w:b/>
          <w:sz w:val="28"/>
          <w:szCs w:val="28"/>
        </w:rPr>
        <w:t xml:space="preserve"> мероприятия:</w:t>
      </w:r>
      <w:r w:rsidR="00A2680A">
        <w:rPr>
          <w:b/>
          <w:sz w:val="28"/>
          <w:szCs w:val="28"/>
        </w:rPr>
        <w:t xml:space="preserve"> </w:t>
      </w:r>
    </w:p>
    <w:p w:rsidR="00E67EF1" w:rsidRDefault="00E67EF1" w:rsidP="00E67EF1">
      <w:pPr>
        <w:pStyle w:val="af"/>
        <w:spacing w:line="240" w:lineRule="auto"/>
        <w:ind w:left="0"/>
        <w:rPr>
          <w:rFonts w:eastAsia="Times New Roman"/>
        </w:rPr>
      </w:pPr>
      <w:r w:rsidRPr="000E0FBF">
        <w:rPr>
          <w:rFonts w:eastAsia="Times New Roman"/>
        </w:rPr>
        <w:t xml:space="preserve">с «03» марта 2021 года по «30» апреля 2021 года </w:t>
      </w:r>
    </w:p>
    <w:p w:rsidR="008A11D0" w:rsidRDefault="008A11D0" w:rsidP="00A2680A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>6.</w:t>
      </w:r>
      <w:r w:rsidRPr="008A11D0">
        <w:rPr>
          <w:b/>
        </w:rPr>
        <w:t xml:space="preserve"> </w:t>
      </w:r>
      <w:r w:rsidRPr="008A11D0">
        <w:rPr>
          <w:b/>
          <w:sz w:val="28"/>
          <w:szCs w:val="28"/>
        </w:rPr>
        <w:t xml:space="preserve">По результатам </w:t>
      </w:r>
      <w:r w:rsidR="002B5084">
        <w:rPr>
          <w:b/>
          <w:sz w:val="28"/>
          <w:szCs w:val="28"/>
        </w:rPr>
        <w:t>экспертно-аналитического</w:t>
      </w:r>
      <w:r w:rsidR="00DA5A8D">
        <w:rPr>
          <w:b/>
          <w:sz w:val="28"/>
          <w:szCs w:val="28"/>
        </w:rPr>
        <w:t xml:space="preserve"> мероприятия</w:t>
      </w:r>
      <w:r w:rsidR="002B5084">
        <w:rPr>
          <w:b/>
          <w:sz w:val="28"/>
          <w:szCs w:val="28"/>
        </w:rPr>
        <w:t xml:space="preserve"> установлено следующее.</w:t>
      </w:r>
    </w:p>
    <w:p w:rsidR="00E67EF1" w:rsidRPr="00E67EF1" w:rsidRDefault="00E67EF1" w:rsidP="00E67EF1">
      <w:pPr>
        <w:ind w:firstLine="708"/>
        <w:jc w:val="both"/>
        <w:rPr>
          <w:sz w:val="28"/>
          <w:szCs w:val="28"/>
        </w:rPr>
      </w:pPr>
      <w:r w:rsidRPr="00E67EF1">
        <w:rPr>
          <w:sz w:val="28"/>
          <w:szCs w:val="28"/>
        </w:rPr>
        <w:t>Управление архитектуры и строительства разместило в Единой информационной системе (далее - ЕИС) 66 закупок, подлежащих размещению в электронном виде, с общим суммарным значением начальных (максимальных) цен контрактов (дале</w:t>
      </w:r>
      <w:proofErr w:type="gramStart"/>
      <w:r w:rsidRPr="00E67EF1">
        <w:rPr>
          <w:sz w:val="28"/>
          <w:szCs w:val="28"/>
        </w:rPr>
        <w:t>е-</w:t>
      </w:r>
      <w:proofErr w:type="gramEnd"/>
      <w:r w:rsidRPr="00E67EF1">
        <w:rPr>
          <w:sz w:val="28"/>
          <w:szCs w:val="28"/>
        </w:rPr>
        <w:t xml:space="preserve"> НМЦК) 875 535 761,57, из них:</w:t>
      </w:r>
    </w:p>
    <w:p w:rsidR="00E67EF1" w:rsidRPr="00E67EF1" w:rsidRDefault="00E67EF1" w:rsidP="00E67EF1">
      <w:pPr>
        <w:ind w:firstLine="708"/>
        <w:jc w:val="both"/>
        <w:rPr>
          <w:sz w:val="28"/>
          <w:szCs w:val="28"/>
        </w:rPr>
      </w:pPr>
      <w:r w:rsidRPr="00E67EF1">
        <w:rPr>
          <w:sz w:val="28"/>
          <w:szCs w:val="28"/>
        </w:rPr>
        <w:lastRenderedPageBreak/>
        <w:t xml:space="preserve">1. По </w:t>
      </w:r>
      <w:proofErr w:type="gramStart"/>
      <w:r w:rsidRPr="00E67EF1">
        <w:rPr>
          <w:sz w:val="28"/>
          <w:szCs w:val="28"/>
        </w:rPr>
        <w:t>закупкам, осуществленным конкурентными способами размещено</w:t>
      </w:r>
      <w:proofErr w:type="gramEnd"/>
      <w:r w:rsidRPr="00E67EF1">
        <w:rPr>
          <w:sz w:val="28"/>
          <w:szCs w:val="28"/>
        </w:rPr>
        <w:t xml:space="preserve"> извещений в количестве 66 единиц с суммарным значением НМЦК 850 017 089,64 рублей, из них закупки осуществлялись путем:</w:t>
      </w:r>
    </w:p>
    <w:p w:rsidR="00E67EF1" w:rsidRPr="00E67EF1" w:rsidRDefault="00E67EF1" w:rsidP="00E67EF1">
      <w:pPr>
        <w:ind w:firstLine="708"/>
        <w:jc w:val="both"/>
        <w:rPr>
          <w:sz w:val="28"/>
          <w:szCs w:val="28"/>
        </w:rPr>
      </w:pPr>
      <w:r w:rsidRPr="00E67EF1">
        <w:rPr>
          <w:sz w:val="28"/>
          <w:szCs w:val="28"/>
        </w:rPr>
        <w:t>– проведения электронного аукциона в количестве 59 извещений на сумму НМЦК 830 611 084,16 рублей;</w:t>
      </w:r>
    </w:p>
    <w:p w:rsidR="00E67EF1" w:rsidRPr="00E67EF1" w:rsidRDefault="00E67EF1" w:rsidP="00E67EF1">
      <w:pPr>
        <w:ind w:firstLine="708"/>
        <w:jc w:val="both"/>
        <w:rPr>
          <w:sz w:val="28"/>
          <w:szCs w:val="28"/>
        </w:rPr>
      </w:pPr>
      <w:r w:rsidRPr="00E67EF1">
        <w:rPr>
          <w:sz w:val="28"/>
          <w:szCs w:val="28"/>
        </w:rPr>
        <w:t>¬– проведения открытого конкурса в количестве 2 извещений на сумму НМЦК 19 406 005,48 рублей.</w:t>
      </w:r>
    </w:p>
    <w:p w:rsidR="00E67EF1" w:rsidRPr="00E67EF1" w:rsidRDefault="00E67EF1" w:rsidP="00E67EF1">
      <w:pPr>
        <w:ind w:firstLine="708"/>
        <w:jc w:val="both"/>
        <w:rPr>
          <w:sz w:val="28"/>
          <w:szCs w:val="28"/>
        </w:rPr>
      </w:pPr>
      <w:r w:rsidRPr="00E67EF1">
        <w:rPr>
          <w:sz w:val="28"/>
          <w:szCs w:val="28"/>
        </w:rPr>
        <w:t xml:space="preserve">2. </w:t>
      </w:r>
      <w:proofErr w:type="gramStart"/>
      <w:r w:rsidRPr="00E67EF1">
        <w:rPr>
          <w:sz w:val="28"/>
          <w:szCs w:val="28"/>
        </w:rPr>
        <w:t>По закупкам, осуществленным с единственным поставщиком по пункту 8 статьи 93 Федерального закона №44-ФЗ в части «оказание услуг  по подключению к системе теплоснабжения» и «по подключению (технологическому присоединению) к централизованной системе водоотведения», не размещаются в соответствии с частью 3 статьи 93 Федерального закона №44-ФЗ, однако сведения о контракте размещены в ЕИС, в количестве 3 единиц с суммарным значением НМЦК 23</w:t>
      </w:r>
      <w:proofErr w:type="gramEnd"/>
      <w:r w:rsidRPr="00E67EF1">
        <w:rPr>
          <w:sz w:val="28"/>
          <w:szCs w:val="28"/>
        </w:rPr>
        <w:t xml:space="preserve"> 840 332,08 рублей.</w:t>
      </w:r>
    </w:p>
    <w:p w:rsidR="00E67EF1" w:rsidRPr="00E67EF1" w:rsidRDefault="00E67EF1" w:rsidP="00E67EF1">
      <w:pPr>
        <w:ind w:firstLine="708"/>
        <w:jc w:val="both"/>
        <w:rPr>
          <w:sz w:val="28"/>
          <w:szCs w:val="28"/>
        </w:rPr>
      </w:pPr>
      <w:r w:rsidRPr="00E67EF1">
        <w:rPr>
          <w:sz w:val="28"/>
          <w:szCs w:val="28"/>
        </w:rPr>
        <w:t>3. По закупкам, осуществленным с единственным поставщиком по пункту 19 статьи 93 Федерального закона №44-ФЗ в части «оказания услуг по авторскому надзору за выполнением работ по строительству объекта» в количестве 1 единицы, с суммарным значением НМЦК 1 678 339,85 рублей.</w:t>
      </w:r>
    </w:p>
    <w:p w:rsidR="00E67EF1" w:rsidRPr="00E67EF1" w:rsidRDefault="00E67EF1" w:rsidP="00E67EF1">
      <w:pPr>
        <w:ind w:firstLine="708"/>
        <w:jc w:val="both"/>
        <w:rPr>
          <w:sz w:val="28"/>
          <w:szCs w:val="28"/>
        </w:rPr>
      </w:pPr>
      <w:r w:rsidRPr="00E67EF1">
        <w:rPr>
          <w:sz w:val="28"/>
          <w:szCs w:val="28"/>
        </w:rPr>
        <w:t>Проанализировав закупки Управления архитектуры и строительства за период 2020 год выборочно можно отметить следующее:</w:t>
      </w:r>
    </w:p>
    <w:p w:rsidR="00E67EF1" w:rsidRPr="00E67EF1" w:rsidRDefault="00E67EF1" w:rsidP="00E67EF1">
      <w:pPr>
        <w:ind w:firstLine="708"/>
        <w:jc w:val="both"/>
        <w:rPr>
          <w:sz w:val="28"/>
          <w:szCs w:val="28"/>
        </w:rPr>
      </w:pPr>
      <w:r w:rsidRPr="00E67EF1">
        <w:rPr>
          <w:sz w:val="28"/>
          <w:szCs w:val="28"/>
        </w:rPr>
        <w:t>1. Наблюдается положительная тенденция при заключении контрактов через подсистему Электронный магазин, экономия составила 15,5% от суммы НМЦК.</w:t>
      </w:r>
    </w:p>
    <w:p w:rsidR="00E67EF1" w:rsidRPr="00E67EF1" w:rsidRDefault="00E67EF1" w:rsidP="00E67EF1">
      <w:pPr>
        <w:ind w:firstLine="708"/>
        <w:jc w:val="both"/>
        <w:rPr>
          <w:sz w:val="28"/>
          <w:szCs w:val="28"/>
        </w:rPr>
      </w:pPr>
      <w:r w:rsidRPr="00E67EF1">
        <w:rPr>
          <w:sz w:val="28"/>
          <w:szCs w:val="28"/>
        </w:rPr>
        <w:t>2. Наблюдается недостаточный уровень планирования закупок, который в свою очередь отрази</w:t>
      </w:r>
      <w:r>
        <w:rPr>
          <w:sz w:val="28"/>
          <w:szCs w:val="28"/>
        </w:rPr>
        <w:t>лось</w:t>
      </w:r>
      <w:r w:rsidRPr="00E67EF1">
        <w:rPr>
          <w:sz w:val="28"/>
          <w:szCs w:val="28"/>
        </w:rPr>
        <w:t xml:space="preserve"> на увеличении несостоявшихся конкурентных процедур в 2020 году, доля несостоявшихся электронных аукционов составила 38,98%.</w:t>
      </w:r>
    </w:p>
    <w:p w:rsidR="00E67EF1" w:rsidRPr="00E67EF1" w:rsidRDefault="00E67EF1" w:rsidP="00E67EF1">
      <w:pPr>
        <w:ind w:firstLine="708"/>
        <w:jc w:val="both"/>
        <w:rPr>
          <w:sz w:val="28"/>
          <w:szCs w:val="28"/>
        </w:rPr>
      </w:pPr>
      <w:r w:rsidRPr="00E67EF1">
        <w:rPr>
          <w:sz w:val="28"/>
          <w:szCs w:val="28"/>
        </w:rPr>
        <w:t>3. Отсутствуют контракты, по которым произошел отказ от исполнения контракта со стороны заказчика, это говорит о том, что все запланированные закупки были осуществлены в соответствии с планом-графиком закупок и исполнены поставщиками (подрядчиками, исполнителями).</w:t>
      </w:r>
    </w:p>
    <w:p w:rsidR="00E67EF1" w:rsidRPr="00E67EF1" w:rsidRDefault="00E67EF1" w:rsidP="00E67EF1">
      <w:pPr>
        <w:ind w:firstLine="708"/>
        <w:jc w:val="both"/>
        <w:rPr>
          <w:sz w:val="28"/>
          <w:szCs w:val="28"/>
        </w:rPr>
      </w:pPr>
      <w:r w:rsidRPr="00E67EF1">
        <w:rPr>
          <w:sz w:val="28"/>
          <w:szCs w:val="28"/>
        </w:rPr>
        <w:t>4. Высокий уровень нарушений, связанных с размещением, своевременным размещением в реестре контрактов соответствующих документов.</w:t>
      </w:r>
    </w:p>
    <w:p w:rsidR="00E67EF1" w:rsidRDefault="00E67EF1" w:rsidP="0036001E">
      <w:pPr>
        <w:ind w:firstLine="708"/>
        <w:jc w:val="both"/>
        <w:rPr>
          <w:sz w:val="28"/>
          <w:szCs w:val="28"/>
        </w:rPr>
      </w:pPr>
      <w:r w:rsidRPr="00E67EF1">
        <w:rPr>
          <w:sz w:val="28"/>
          <w:szCs w:val="28"/>
        </w:rPr>
        <w:t>5. Не ведется претензионная работа с поставщиками (подрядчиками, исполнителями), нарушившими сроки предоставления документов приемки в системе ПИК ЕАСУЗ.</w:t>
      </w:r>
      <w:bookmarkStart w:id="1" w:name="_GoBack"/>
      <w:bookmarkEnd w:id="1"/>
    </w:p>
    <w:p w:rsidR="00DA0162" w:rsidRPr="00443051" w:rsidRDefault="00521222" w:rsidP="002B50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5084">
        <w:rPr>
          <w:sz w:val="28"/>
          <w:szCs w:val="28"/>
        </w:rPr>
        <w:t>П</w:t>
      </w:r>
      <w:r w:rsidR="00DA0162">
        <w:rPr>
          <w:sz w:val="28"/>
          <w:szCs w:val="28"/>
        </w:rPr>
        <w:t xml:space="preserve">о результатам </w:t>
      </w:r>
      <w:r w:rsidR="002B5084">
        <w:rPr>
          <w:sz w:val="28"/>
          <w:szCs w:val="28"/>
        </w:rPr>
        <w:t>экспертно-аналитического</w:t>
      </w:r>
      <w:r w:rsidR="00DA0162">
        <w:rPr>
          <w:sz w:val="28"/>
          <w:szCs w:val="28"/>
        </w:rPr>
        <w:t xml:space="preserve"> мероприятия были направлены информационные письма в Совет депутатов городского округа Серпухов и Главе городского округа Серпухов, а также </w:t>
      </w:r>
      <w:r w:rsidR="002B5084">
        <w:rPr>
          <w:sz w:val="28"/>
          <w:szCs w:val="28"/>
        </w:rPr>
        <w:t>Заключение о</w:t>
      </w:r>
      <w:r w:rsidR="00DA0162">
        <w:rPr>
          <w:sz w:val="28"/>
          <w:szCs w:val="28"/>
        </w:rPr>
        <w:t xml:space="preserve"> результатах </w:t>
      </w:r>
      <w:r w:rsidR="002B5084">
        <w:rPr>
          <w:sz w:val="28"/>
          <w:szCs w:val="28"/>
        </w:rPr>
        <w:t>экспертно-аналитического</w:t>
      </w:r>
      <w:r w:rsidR="00DA0162">
        <w:rPr>
          <w:sz w:val="28"/>
          <w:szCs w:val="28"/>
        </w:rPr>
        <w:t xml:space="preserve"> мероприятия для сведения был</w:t>
      </w:r>
      <w:r w:rsidR="002B5084">
        <w:rPr>
          <w:sz w:val="28"/>
          <w:szCs w:val="28"/>
        </w:rPr>
        <w:t>о</w:t>
      </w:r>
      <w:r w:rsidR="00DA0162">
        <w:rPr>
          <w:sz w:val="28"/>
          <w:szCs w:val="28"/>
        </w:rPr>
        <w:t xml:space="preserve"> направлен</w:t>
      </w:r>
      <w:r w:rsidR="002B5084">
        <w:rPr>
          <w:sz w:val="28"/>
          <w:szCs w:val="28"/>
        </w:rPr>
        <w:t>о</w:t>
      </w:r>
      <w:r w:rsidR="00DA0162">
        <w:rPr>
          <w:sz w:val="28"/>
          <w:szCs w:val="28"/>
        </w:rPr>
        <w:t xml:space="preserve"> в Прокуратуру </w:t>
      </w:r>
      <w:r>
        <w:rPr>
          <w:sz w:val="28"/>
          <w:szCs w:val="28"/>
        </w:rPr>
        <w:t>городского округа Серпухов.</w:t>
      </w:r>
    </w:p>
    <w:p w:rsidR="00DA0162" w:rsidRPr="008A11D0" w:rsidRDefault="00DA0162" w:rsidP="00DA01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0154" w:rsidRPr="008A11D0" w:rsidRDefault="008C0154" w:rsidP="008A11D0">
      <w:pPr>
        <w:jc w:val="both"/>
        <w:rPr>
          <w:sz w:val="28"/>
          <w:szCs w:val="28"/>
        </w:rPr>
      </w:pPr>
    </w:p>
    <w:sectPr w:rsidR="008C0154" w:rsidRPr="008A11D0" w:rsidSect="002B50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07" w:rsidRDefault="00760B07" w:rsidP="002B5084">
      <w:r>
        <w:separator/>
      </w:r>
    </w:p>
  </w:endnote>
  <w:endnote w:type="continuationSeparator" w:id="0">
    <w:p w:rsidR="00760B07" w:rsidRDefault="00760B07" w:rsidP="002B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84" w:rsidRDefault="002B508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84" w:rsidRDefault="002B508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84" w:rsidRDefault="002B508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07" w:rsidRDefault="00760B07" w:rsidP="002B5084">
      <w:r>
        <w:separator/>
      </w:r>
    </w:p>
  </w:footnote>
  <w:footnote w:type="continuationSeparator" w:id="0">
    <w:p w:rsidR="00760B07" w:rsidRDefault="00760B07" w:rsidP="002B5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84" w:rsidRDefault="002B508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913261"/>
      <w:docPartObj>
        <w:docPartGallery w:val="Page Numbers (Top of Page)"/>
        <w:docPartUnique/>
      </w:docPartObj>
    </w:sdtPr>
    <w:sdtEndPr/>
    <w:sdtContent>
      <w:p w:rsidR="002B5084" w:rsidRDefault="002B508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01E">
          <w:rPr>
            <w:noProof/>
          </w:rPr>
          <w:t>2</w:t>
        </w:r>
        <w:r>
          <w:fldChar w:fldCharType="end"/>
        </w:r>
      </w:p>
    </w:sdtContent>
  </w:sdt>
  <w:p w:rsidR="002B5084" w:rsidRDefault="002B508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84" w:rsidRDefault="002B508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99C"/>
    <w:rsid w:val="000073BB"/>
    <w:rsid w:val="0001377F"/>
    <w:rsid w:val="000A2D22"/>
    <w:rsid w:val="000D7311"/>
    <w:rsid w:val="000F2261"/>
    <w:rsid w:val="000F3F8B"/>
    <w:rsid w:val="0014799C"/>
    <w:rsid w:val="001830AF"/>
    <w:rsid w:val="00186C00"/>
    <w:rsid w:val="001B2138"/>
    <w:rsid w:val="001C2C3A"/>
    <w:rsid w:val="00260CA1"/>
    <w:rsid w:val="00261FF8"/>
    <w:rsid w:val="002646AD"/>
    <w:rsid w:val="00296DBD"/>
    <w:rsid w:val="002A19F2"/>
    <w:rsid w:val="002B5084"/>
    <w:rsid w:val="002D2AF6"/>
    <w:rsid w:val="002D4A53"/>
    <w:rsid w:val="003145EC"/>
    <w:rsid w:val="00330393"/>
    <w:rsid w:val="00341B70"/>
    <w:rsid w:val="0036001E"/>
    <w:rsid w:val="003752D5"/>
    <w:rsid w:val="003921A5"/>
    <w:rsid w:val="003C4174"/>
    <w:rsid w:val="003F7439"/>
    <w:rsid w:val="004207FF"/>
    <w:rsid w:val="00422617"/>
    <w:rsid w:val="00452306"/>
    <w:rsid w:val="00453233"/>
    <w:rsid w:val="00461877"/>
    <w:rsid w:val="004723D5"/>
    <w:rsid w:val="00473DD1"/>
    <w:rsid w:val="00475A6B"/>
    <w:rsid w:val="00486BD4"/>
    <w:rsid w:val="00492A7E"/>
    <w:rsid w:val="004B38BB"/>
    <w:rsid w:val="004E0161"/>
    <w:rsid w:val="004E121E"/>
    <w:rsid w:val="00521222"/>
    <w:rsid w:val="005278DB"/>
    <w:rsid w:val="00540947"/>
    <w:rsid w:val="00587564"/>
    <w:rsid w:val="00591E79"/>
    <w:rsid w:val="005950CB"/>
    <w:rsid w:val="005B0A26"/>
    <w:rsid w:val="005E19DD"/>
    <w:rsid w:val="005E4B48"/>
    <w:rsid w:val="00616D92"/>
    <w:rsid w:val="0066147A"/>
    <w:rsid w:val="006663C8"/>
    <w:rsid w:val="006779BA"/>
    <w:rsid w:val="006A7D65"/>
    <w:rsid w:val="006C76FC"/>
    <w:rsid w:val="00707D97"/>
    <w:rsid w:val="00716C11"/>
    <w:rsid w:val="00720991"/>
    <w:rsid w:val="00751224"/>
    <w:rsid w:val="00760B07"/>
    <w:rsid w:val="007A3236"/>
    <w:rsid w:val="007B6BA1"/>
    <w:rsid w:val="007C6DC1"/>
    <w:rsid w:val="008A11D0"/>
    <w:rsid w:val="008C0154"/>
    <w:rsid w:val="008E3467"/>
    <w:rsid w:val="008F1039"/>
    <w:rsid w:val="00916EF6"/>
    <w:rsid w:val="00932B1D"/>
    <w:rsid w:val="00957446"/>
    <w:rsid w:val="0096032F"/>
    <w:rsid w:val="009613BC"/>
    <w:rsid w:val="009668FC"/>
    <w:rsid w:val="00986747"/>
    <w:rsid w:val="009B6883"/>
    <w:rsid w:val="009B7724"/>
    <w:rsid w:val="009C7B3E"/>
    <w:rsid w:val="00A2680A"/>
    <w:rsid w:val="00A27DD8"/>
    <w:rsid w:val="00A70DBF"/>
    <w:rsid w:val="00A775C8"/>
    <w:rsid w:val="00A84809"/>
    <w:rsid w:val="00AB6D15"/>
    <w:rsid w:val="00AD21EA"/>
    <w:rsid w:val="00AD3AAC"/>
    <w:rsid w:val="00AD774C"/>
    <w:rsid w:val="00AE1FE4"/>
    <w:rsid w:val="00AE29AB"/>
    <w:rsid w:val="00AE7D76"/>
    <w:rsid w:val="00AF6A7E"/>
    <w:rsid w:val="00B20341"/>
    <w:rsid w:val="00B90199"/>
    <w:rsid w:val="00BE031C"/>
    <w:rsid w:val="00BE52E4"/>
    <w:rsid w:val="00BF5C43"/>
    <w:rsid w:val="00C7210F"/>
    <w:rsid w:val="00C75430"/>
    <w:rsid w:val="00C835AF"/>
    <w:rsid w:val="00C9194C"/>
    <w:rsid w:val="00CA08D2"/>
    <w:rsid w:val="00CB2C55"/>
    <w:rsid w:val="00CB51DA"/>
    <w:rsid w:val="00CE0213"/>
    <w:rsid w:val="00D03691"/>
    <w:rsid w:val="00D374BE"/>
    <w:rsid w:val="00D41CDC"/>
    <w:rsid w:val="00D87F62"/>
    <w:rsid w:val="00DA0162"/>
    <w:rsid w:val="00DA18CD"/>
    <w:rsid w:val="00DA5A8D"/>
    <w:rsid w:val="00DB5707"/>
    <w:rsid w:val="00DB61D9"/>
    <w:rsid w:val="00E433F6"/>
    <w:rsid w:val="00E43460"/>
    <w:rsid w:val="00E67EF1"/>
    <w:rsid w:val="00EA63F8"/>
    <w:rsid w:val="00EF7F4D"/>
    <w:rsid w:val="00F33D01"/>
    <w:rsid w:val="00F417C8"/>
    <w:rsid w:val="00F50F6D"/>
    <w:rsid w:val="00F75B92"/>
    <w:rsid w:val="00FB29C0"/>
    <w:rsid w:val="00FD733B"/>
    <w:rsid w:val="00FE21AA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2B50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B5084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B50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B5084"/>
    <w:rPr>
      <w:rFonts w:eastAsia="Times New Roman"/>
      <w:sz w:val="24"/>
      <w:szCs w:val="24"/>
    </w:rPr>
  </w:style>
  <w:style w:type="paragraph" w:styleId="af">
    <w:name w:val="List Paragraph"/>
    <w:aliases w:val="ПАРАГРАФ,Абзац списка11,List Paragraph"/>
    <w:basedOn w:val="a"/>
    <w:link w:val="af0"/>
    <w:uiPriority w:val="34"/>
    <w:qFormat/>
    <w:rsid w:val="00E67EF1"/>
    <w:pPr>
      <w:spacing w:line="360" w:lineRule="auto"/>
      <w:ind w:left="720" w:firstLine="709"/>
      <w:contextualSpacing/>
      <w:jc w:val="both"/>
    </w:pPr>
    <w:rPr>
      <w:rFonts w:eastAsia="Calibri"/>
      <w:sz w:val="28"/>
      <w:szCs w:val="20"/>
    </w:rPr>
  </w:style>
  <w:style w:type="character" w:customStyle="1" w:styleId="af0">
    <w:name w:val="Абзац списка Знак"/>
    <w:aliases w:val="ПАРАГРАФ Знак,Абзац списка11 Знак,List Paragraph Знак"/>
    <w:link w:val="af"/>
    <w:uiPriority w:val="34"/>
    <w:locked/>
    <w:rsid w:val="00E67EF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pserpuhov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E20A8-ED2F-4A2B-9AA2-393A6D63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29</cp:revision>
  <cp:lastPrinted>2020-06-02T08:20:00Z</cp:lastPrinted>
  <dcterms:created xsi:type="dcterms:W3CDTF">2018-12-26T13:29:00Z</dcterms:created>
  <dcterms:modified xsi:type="dcterms:W3CDTF">2021-06-04T11:28:00Z</dcterms:modified>
</cp:coreProperties>
</file>