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AB2C3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AB2C32">
        <w:rPr>
          <w:b/>
          <w:noProof/>
          <w:sz w:val="28"/>
          <w:szCs w:val="28"/>
        </w:rPr>
        <w:drawing>
          <wp:inline distT="0" distB="0" distL="0" distR="0" wp14:anchorId="1FF2D389" wp14:editId="41A9F085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AB2C3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AB2C3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КОНТРОЛЬНО-СЧЕТНАЯ</w:t>
            </w:r>
            <w:r w:rsidR="00957446" w:rsidRPr="00AB2C32">
              <w:rPr>
                <w:b/>
                <w:sz w:val="28"/>
                <w:szCs w:val="28"/>
              </w:rPr>
              <w:t xml:space="preserve"> ПАЛАТ</w:t>
            </w:r>
            <w:r w:rsidRPr="00AB2C32">
              <w:rPr>
                <w:b/>
                <w:sz w:val="28"/>
                <w:szCs w:val="28"/>
              </w:rPr>
              <w:t>А</w:t>
            </w:r>
          </w:p>
          <w:p w:rsidR="00957446" w:rsidRPr="00AB2C3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AB2C3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AB2C32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городской округ Серпухов,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ул. Советская, д.88 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>ИНН/КПП: 5043044241/504301001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Pr="00AB2C32" w:rsidRDefault="00957446" w:rsidP="005E19DD">
            <w:pPr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телефон:  8(4967)37-71-85, 37-45-40 </w:t>
            </w:r>
          </w:p>
          <w:p w:rsidR="00957446" w:rsidRPr="00AB2C32" w:rsidRDefault="00957446" w:rsidP="005E19DD">
            <w:pPr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  <w:lang w:val="en-US"/>
              </w:rPr>
              <w:t>e</w:t>
            </w:r>
            <w:r w:rsidRPr="00AB2C32">
              <w:rPr>
                <w:sz w:val="28"/>
                <w:szCs w:val="28"/>
              </w:rPr>
              <w:t>-</w:t>
            </w:r>
            <w:r w:rsidRPr="00AB2C32">
              <w:rPr>
                <w:sz w:val="28"/>
                <w:szCs w:val="28"/>
                <w:lang w:val="en-US"/>
              </w:rPr>
              <w:t>mail</w:t>
            </w:r>
            <w:r w:rsidRPr="00AB2C32">
              <w:rPr>
                <w:sz w:val="28"/>
                <w:szCs w:val="28"/>
              </w:rPr>
              <w:t xml:space="preserve"> : </w:t>
            </w:r>
            <w:hyperlink r:id="rId10" w:history="1">
              <w:r w:rsidRPr="00AB2C32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AB2C32">
              <w:rPr>
                <w:sz w:val="28"/>
                <w:szCs w:val="28"/>
              </w:rPr>
              <w:t xml:space="preserve"> https://ksp-serpuhov.ru</w:t>
            </w:r>
          </w:p>
          <w:p w:rsidR="00957446" w:rsidRPr="00AB2C32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Pr="00AB2C32" w:rsidRDefault="008A11D0" w:rsidP="00582A7B">
      <w:pPr>
        <w:rPr>
          <w:sz w:val="28"/>
          <w:szCs w:val="28"/>
        </w:rPr>
      </w:pPr>
    </w:p>
    <w:p w:rsidR="008A11D0" w:rsidRPr="00582A7B" w:rsidRDefault="008A11D0" w:rsidP="00FB6B97">
      <w:pPr>
        <w:jc w:val="center"/>
        <w:rPr>
          <w:b/>
          <w:sz w:val="28"/>
          <w:szCs w:val="28"/>
        </w:rPr>
      </w:pPr>
      <w:r w:rsidRPr="00582A7B">
        <w:rPr>
          <w:b/>
          <w:sz w:val="28"/>
          <w:szCs w:val="28"/>
        </w:rPr>
        <w:t>Информация об итогах проведенного контрольного мероприятия</w:t>
      </w:r>
    </w:p>
    <w:p w:rsidR="00FB6B97" w:rsidRDefault="00FB6B97" w:rsidP="00FB6B97">
      <w:pPr>
        <w:jc w:val="center"/>
        <w:rPr>
          <w:b/>
          <w:bCs/>
          <w:sz w:val="28"/>
          <w:szCs w:val="28"/>
        </w:rPr>
      </w:pPr>
      <w:r w:rsidRPr="00FB6B97">
        <w:rPr>
          <w:b/>
          <w:bCs/>
          <w:sz w:val="28"/>
          <w:szCs w:val="28"/>
        </w:rPr>
        <w:t xml:space="preserve">«Внешняя проверка бюджетной отчетности главных администраторов бюджетных средств городского округа Серпухов Московской области за 2020 год: </w:t>
      </w:r>
      <w:r w:rsidR="00553116" w:rsidRPr="00553116">
        <w:rPr>
          <w:b/>
          <w:bCs/>
          <w:sz w:val="28"/>
          <w:szCs w:val="28"/>
        </w:rPr>
        <w:t>Администрации городского окр</w:t>
      </w:r>
      <w:r w:rsidR="00553116">
        <w:rPr>
          <w:b/>
          <w:bCs/>
          <w:sz w:val="28"/>
          <w:szCs w:val="28"/>
        </w:rPr>
        <w:t>уга Серпухов Московской области»</w:t>
      </w:r>
    </w:p>
    <w:p w:rsidR="00FB6B97" w:rsidRDefault="00FB6B97" w:rsidP="00A9041C">
      <w:pPr>
        <w:jc w:val="both"/>
        <w:rPr>
          <w:b/>
          <w:bCs/>
          <w:sz w:val="28"/>
          <w:szCs w:val="28"/>
        </w:rPr>
      </w:pPr>
    </w:p>
    <w:p w:rsidR="00F11E09" w:rsidRDefault="00DD1B1C" w:rsidP="00A9041C">
      <w:pPr>
        <w:jc w:val="both"/>
        <w:rPr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 xml:space="preserve">1. Основание для проведения контрольного мероприятия: </w:t>
      </w:r>
      <w:r w:rsidRPr="00AB2C32">
        <w:rPr>
          <w:sz w:val="28"/>
          <w:szCs w:val="28"/>
        </w:rPr>
        <w:t xml:space="preserve"> </w:t>
      </w:r>
      <w:r w:rsidR="00F11E09" w:rsidRPr="00F11E09">
        <w:rPr>
          <w:sz w:val="28"/>
          <w:szCs w:val="28"/>
        </w:rPr>
        <w:t>пункт 2.5.</w:t>
      </w:r>
      <w:r w:rsidR="00553116">
        <w:rPr>
          <w:sz w:val="28"/>
          <w:szCs w:val="28"/>
        </w:rPr>
        <w:t>1</w:t>
      </w:r>
      <w:r w:rsidR="00F11E09" w:rsidRPr="00F11E09">
        <w:rPr>
          <w:sz w:val="28"/>
          <w:szCs w:val="28"/>
        </w:rPr>
        <w:t xml:space="preserve"> раздела 2 Плана работы Контрольно-счетной палаты городского округа Серпухов Московской области на 2021 год, утвержденного Приказом председателя Контрольно-счетной палаты городского округа Серпухов Московской области от 21.12.2020 № 128 (с изменениями).</w:t>
      </w:r>
    </w:p>
    <w:p w:rsidR="008A11D0" w:rsidRPr="00AB2C32" w:rsidRDefault="00DD1B1C" w:rsidP="008040EC">
      <w:pPr>
        <w:jc w:val="both"/>
        <w:rPr>
          <w:b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2. Предмет контрольного мероприятия:</w:t>
      </w:r>
      <w:r w:rsidR="002E015F" w:rsidRPr="00AB2C32">
        <w:t xml:space="preserve"> </w:t>
      </w:r>
      <w:r w:rsidR="00F11E09" w:rsidRPr="00DD1E8A">
        <w:rPr>
          <w:sz w:val="28"/>
          <w:szCs w:val="28"/>
        </w:rPr>
        <w:t>годовая бюджетная отчетность главных администраторов бюджетных средств городского округа Серпухов состав, формы и порядок предоставления которой утверждается Минфином РФ.</w:t>
      </w:r>
      <w:r w:rsidRPr="00AB2C32">
        <w:rPr>
          <w:b/>
          <w:sz w:val="28"/>
          <w:szCs w:val="28"/>
        </w:rPr>
        <w:tab/>
      </w:r>
      <w:r w:rsidR="003F4FF9" w:rsidRPr="00AB2C32">
        <w:rPr>
          <w:b/>
          <w:sz w:val="28"/>
          <w:szCs w:val="28"/>
        </w:rPr>
        <w:t>3. Объект</w:t>
      </w:r>
      <w:r w:rsidR="008040EC" w:rsidRPr="00AB2C32">
        <w:rPr>
          <w:b/>
          <w:sz w:val="28"/>
          <w:szCs w:val="28"/>
        </w:rPr>
        <w:t>ы</w:t>
      </w:r>
      <w:r w:rsidR="008A11D0" w:rsidRPr="00AB2C32">
        <w:rPr>
          <w:b/>
          <w:sz w:val="28"/>
          <w:szCs w:val="28"/>
        </w:rPr>
        <w:t xml:space="preserve"> контрольного мероприятия: </w:t>
      </w:r>
    </w:p>
    <w:p w:rsidR="00553116" w:rsidRDefault="00553116" w:rsidP="00553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53116">
        <w:rPr>
          <w:sz w:val="28"/>
          <w:szCs w:val="28"/>
        </w:rPr>
        <w:t>Администрация городского округа Серпухов Московской области</w:t>
      </w:r>
      <w:r>
        <w:rPr>
          <w:sz w:val="28"/>
          <w:szCs w:val="28"/>
        </w:rPr>
        <w:t>;</w:t>
      </w:r>
    </w:p>
    <w:p w:rsidR="00553116" w:rsidRDefault="00553116" w:rsidP="00553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553116">
        <w:rPr>
          <w:sz w:val="28"/>
          <w:szCs w:val="28"/>
        </w:rPr>
        <w:t>Муниципальное казённое учреждение «Управление по бухгалтерскому учету и отчетности Администрации городского округа Серпухов»</w:t>
      </w:r>
      <w:r>
        <w:rPr>
          <w:sz w:val="28"/>
          <w:szCs w:val="28"/>
        </w:rPr>
        <w:t>.</w:t>
      </w:r>
    </w:p>
    <w:p w:rsidR="006F6BEF" w:rsidRPr="00AB2C32" w:rsidRDefault="00DD1B1C" w:rsidP="00AF6AFA">
      <w:pPr>
        <w:jc w:val="both"/>
        <w:rPr>
          <w:rFonts w:eastAsia="Calibri"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4. Проверяемый период деятельности</w:t>
      </w:r>
      <w:r w:rsidR="008A11D0" w:rsidRPr="00AB2C32">
        <w:rPr>
          <w:sz w:val="28"/>
          <w:szCs w:val="28"/>
        </w:rPr>
        <w:t xml:space="preserve">: </w:t>
      </w:r>
      <w:r w:rsidR="00582A7B">
        <w:rPr>
          <w:sz w:val="28"/>
          <w:szCs w:val="28"/>
        </w:rPr>
        <w:t>2020 год</w:t>
      </w:r>
      <w:r w:rsidR="008040EC" w:rsidRPr="00AB2C32">
        <w:rPr>
          <w:sz w:val="28"/>
          <w:szCs w:val="28"/>
        </w:rPr>
        <w:t>.</w:t>
      </w:r>
    </w:p>
    <w:p w:rsidR="008A11D0" w:rsidRPr="00AB2C32" w:rsidRDefault="008A11D0" w:rsidP="006F6BEF">
      <w:pPr>
        <w:ind w:firstLine="709"/>
        <w:jc w:val="both"/>
        <w:rPr>
          <w:sz w:val="28"/>
          <w:szCs w:val="28"/>
        </w:rPr>
      </w:pPr>
      <w:r w:rsidRPr="00AB2C32">
        <w:rPr>
          <w:b/>
          <w:sz w:val="28"/>
          <w:szCs w:val="28"/>
        </w:rPr>
        <w:t>5. Срок проведения контрольного мероприятия:</w:t>
      </w:r>
    </w:p>
    <w:p w:rsidR="00F11E09" w:rsidRPr="00D212E0" w:rsidRDefault="00F11E09" w:rsidP="00F11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«01» апреля 2021 года по «31» мая</w:t>
      </w:r>
      <w:r w:rsidRPr="00DD1E8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DD1E8A">
        <w:rPr>
          <w:sz w:val="28"/>
          <w:szCs w:val="28"/>
        </w:rPr>
        <w:t xml:space="preserve"> года.</w:t>
      </w:r>
    </w:p>
    <w:p w:rsidR="003F4FF9" w:rsidRDefault="00DD1B1C" w:rsidP="006D1813">
      <w:pPr>
        <w:jc w:val="both"/>
        <w:rPr>
          <w:b/>
          <w:color w:val="000000"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6.</w:t>
      </w:r>
      <w:r w:rsidR="008A11D0" w:rsidRPr="00AB2C32">
        <w:rPr>
          <w:b/>
        </w:rPr>
        <w:t xml:space="preserve"> </w:t>
      </w:r>
      <w:r w:rsidR="003F4FF9" w:rsidRPr="00AB2C32">
        <w:rPr>
          <w:b/>
          <w:color w:val="000000"/>
          <w:sz w:val="28"/>
          <w:szCs w:val="28"/>
        </w:rPr>
        <w:t xml:space="preserve">По результатам контрольного мероприятия </w:t>
      </w:r>
      <w:r w:rsidR="00E5602B" w:rsidRPr="00AB2C32">
        <w:rPr>
          <w:b/>
          <w:color w:val="000000"/>
          <w:sz w:val="28"/>
          <w:szCs w:val="28"/>
        </w:rPr>
        <w:t>установлено</w:t>
      </w:r>
      <w:r w:rsidR="00752AED" w:rsidRPr="00AB2C32">
        <w:rPr>
          <w:b/>
          <w:color w:val="000000"/>
          <w:sz w:val="28"/>
          <w:szCs w:val="28"/>
        </w:rPr>
        <w:t>:</w:t>
      </w:r>
    </w:p>
    <w:p w:rsidR="00553116" w:rsidRDefault="00553116" w:rsidP="00553116">
      <w:pPr>
        <w:tabs>
          <w:tab w:val="left" w:pos="2640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.Выводы:</w:t>
      </w:r>
    </w:p>
    <w:p w:rsidR="00553116" w:rsidRDefault="00553116" w:rsidP="00553116">
      <w:pPr>
        <w:ind w:firstLine="708"/>
        <w:jc w:val="both"/>
        <w:rPr>
          <w:sz w:val="28"/>
          <w:szCs w:val="28"/>
        </w:rPr>
      </w:pPr>
      <w:r w:rsidRPr="00F61580">
        <w:rPr>
          <w:sz w:val="28"/>
          <w:szCs w:val="28"/>
        </w:rPr>
        <w:t xml:space="preserve">Годовая бюджетная отчетность </w:t>
      </w:r>
      <w:r>
        <w:rPr>
          <w:sz w:val="28"/>
          <w:szCs w:val="28"/>
        </w:rPr>
        <w:t>Администрации городского округа Серпухов Московской области (далее – Администрация городского округа Серпухов)</w:t>
      </w:r>
      <w:r w:rsidRPr="00F61580">
        <w:rPr>
          <w:sz w:val="28"/>
          <w:szCs w:val="28"/>
        </w:rPr>
        <w:t xml:space="preserve"> представлена в Контрольно-счетную палату городского округа </w:t>
      </w:r>
      <w:r>
        <w:rPr>
          <w:sz w:val="28"/>
          <w:szCs w:val="28"/>
        </w:rPr>
        <w:t>Серпухов в установленный срок с сопроводительным письмом, в сброшюрованном и пронумерованном виде.</w:t>
      </w:r>
    </w:p>
    <w:p w:rsidR="00553116" w:rsidRDefault="00553116" w:rsidP="00553116">
      <w:pPr>
        <w:ind w:firstLine="708"/>
        <w:jc w:val="both"/>
        <w:rPr>
          <w:i/>
          <w:sz w:val="28"/>
        </w:rPr>
      </w:pPr>
      <w:r w:rsidRPr="00D45950">
        <w:rPr>
          <w:sz w:val="28"/>
        </w:rPr>
        <w:lastRenderedPageBreak/>
        <w:t>Согласно бюджетной отчетности главного распорядителя средств бюджета городского округа Серпухов – Администрация городского округа Серпухов за 2020  год имеет следующие показатели</w:t>
      </w:r>
      <w:r w:rsidRPr="00D45950">
        <w:rPr>
          <w:i/>
          <w:sz w:val="28"/>
        </w:rPr>
        <w:t>:</w:t>
      </w:r>
      <w:r w:rsidRPr="00D45950">
        <w:rPr>
          <w:i/>
          <w:sz w:val="28"/>
        </w:rPr>
        <w:tab/>
      </w:r>
    </w:p>
    <w:p w:rsidR="00553116" w:rsidRPr="004F38C1" w:rsidRDefault="00553116" w:rsidP="00553116">
      <w:pPr>
        <w:ind w:firstLine="708"/>
        <w:jc w:val="both"/>
        <w:rPr>
          <w:sz w:val="28"/>
        </w:rPr>
      </w:pPr>
      <w:r w:rsidRPr="004F38C1">
        <w:rPr>
          <w:sz w:val="28"/>
        </w:rPr>
        <w:t xml:space="preserve">- утвержденные бюджетные назначения по </w:t>
      </w:r>
      <w:r>
        <w:rPr>
          <w:sz w:val="28"/>
        </w:rPr>
        <w:t>доходам</w:t>
      </w:r>
      <w:r w:rsidRPr="004F38C1">
        <w:rPr>
          <w:sz w:val="28"/>
        </w:rPr>
        <w:t xml:space="preserve"> бюджета (ф.0503127) отражены в размере </w:t>
      </w:r>
      <w:r>
        <w:rPr>
          <w:sz w:val="28"/>
        </w:rPr>
        <w:t>5 213 412 672,22</w:t>
      </w:r>
      <w:r w:rsidRPr="004F38C1">
        <w:rPr>
          <w:sz w:val="28"/>
        </w:rPr>
        <w:t xml:space="preserve"> рублей.</w:t>
      </w:r>
    </w:p>
    <w:p w:rsidR="00553116" w:rsidRPr="00D45950" w:rsidRDefault="00553116" w:rsidP="00553116">
      <w:pPr>
        <w:ind w:firstLine="708"/>
        <w:jc w:val="both"/>
        <w:rPr>
          <w:sz w:val="28"/>
          <w:szCs w:val="28"/>
        </w:rPr>
      </w:pPr>
      <w:r w:rsidRPr="00D45950">
        <w:rPr>
          <w:sz w:val="28"/>
        </w:rPr>
        <w:t xml:space="preserve">- утвержденные бюджетные назначения по расходам бюджета (ф.0503127) отражены в размере </w:t>
      </w:r>
      <w:r w:rsidRPr="004F38C1">
        <w:rPr>
          <w:sz w:val="28"/>
        </w:rPr>
        <w:t>3 425 778 196,74</w:t>
      </w:r>
      <w:r w:rsidRPr="00D45950">
        <w:rPr>
          <w:sz w:val="28"/>
        </w:rPr>
        <w:t xml:space="preserve"> рублей</w:t>
      </w:r>
      <w:r w:rsidRPr="00D45950">
        <w:rPr>
          <w:sz w:val="28"/>
          <w:szCs w:val="28"/>
        </w:rPr>
        <w:t>.</w:t>
      </w:r>
    </w:p>
    <w:p w:rsidR="00553116" w:rsidRPr="00144DE4" w:rsidRDefault="00553116" w:rsidP="00553116">
      <w:pPr>
        <w:ind w:firstLine="708"/>
        <w:jc w:val="both"/>
        <w:rPr>
          <w:sz w:val="28"/>
          <w:szCs w:val="28"/>
        </w:rPr>
      </w:pPr>
      <w:r w:rsidRPr="00B84A63">
        <w:rPr>
          <w:sz w:val="28"/>
          <w:szCs w:val="28"/>
        </w:rPr>
        <w:t xml:space="preserve">Утвержденные бюджетные назначения по расходам бюджетной  деятельности в размере </w:t>
      </w:r>
      <w:r w:rsidRPr="00B84A63">
        <w:rPr>
          <w:sz w:val="28"/>
        </w:rPr>
        <w:t>3 425 778</w:t>
      </w:r>
      <w:r>
        <w:rPr>
          <w:sz w:val="28"/>
        </w:rPr>
        <w:t> </w:t>
      </w:r>
      <w:r w:rsidRPr="00B84A63">
        <w:rPr>
          <w:sz w:val="28"/>
        </w:rPr>
        <w:t>196</w:t>
      </w:r>
      <w:r>
        <w:rPr>
          <w:sz w:val="28"/>
        </w:rPr>
        <w:t>,</w:t>
      </w:r>
      <w:r w:rsidRPr="00B84A63">
        <w:rPr>
          <w:sz w:val="28"/>
        </w:rPr>
        <w:t xml:space="preserve">74 </w:t>
      </w:r>
      <w:r w:rsidRPr="00B84A63">
        <w:rPr>
          <w:sz w:val="28"/>
          <w:szCs w:val="28"/>
        </w:rPr>
        <w:t xml:space="preserve">рублей (ф.0503127) не соответствуют плановым </w:t>
      </w:r>
      <w:proofErr w:type="gramStart"/>
      <w:r w:rsidRPr="00B84A63">
        <w:rPr>
          <w:sz w:val="28"/>
          <w:szCs w:val="28"/>
        </w:rPr>
        <w:t>ассигнованиям</w:t>
      </w:r>
      <w:proofErr w:type="gramEnd"/>
      <w:r w:rsidRPr="00B84A63">
        <w:rPr>
          <w:sz w:val="28"/>
          <w:szCs w:val="28"/>
        </w:rPr>
        <w:t xml:space="preserve"> утвержденным в соответствии с Приложением №4 к решению Совета депутатов городского округа Серпухов                                                                                        от 16.12.2020 №228/28 «О внесении изменений в решение Совета депутатов городского округа Серпухов Московской области от 18.12.2019 № 89/11 «О бюджете городского округа Серпухов Московской области на 2020 год и на плановый период 2021 и 2022 годов» (3 423 151,2 тыс. рублей). Данное отклонение допустимо в соответствии с пунктом 3 статьи 217 Бюджетного кодекса Р</w:t>
      </w:r>
      <w:r>
        <w:rPr>
          <w:sz w:val="28"/>
          <w:szCs w:val="28"/>
        </w:rPr>
        <w:t xml:space="preserve">оссийской </w:t>
      </w:r>
      <w:r w:rsidRPr="00B84A6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84A63">
        <w:rPr>
          <w:sz w:val="28"/>
          <w:szCs w:val="28"/>
        </w:rPr>
        <w:t xml:space="preserve"> в рамках полномочий </w:t>
      </w:r>
      <w:r w:rsidRPr="00FB14D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B84A63">
        <w:rPr>
          <w:sz w:val="28"/>
          <w:szCs w:val="28"/>
        </w:rPr>
        <w:t xml:space="preserve">Комитета по финансам и налоговой </w:t>
      </w:r>
      <w:r w:rsidRPr="00144DE4">
        <w:rPr>
          <w:sz w:val="28"/>
          <w:szCs w:val="28"/>
        </w:rPr>
        <w:t>политики Администрации городского округа Серпухов.</w:t>
      </w:r>
    </w:p>
    <w:p w:rsidR="00553116" w:rsidRPr="00144DE4" w:rsidRDefault="00553116" w:rsidP="00553116">
      <w:pPr>
        <w:ind w:firstLine="708"/>
        <w:jc w:val="both"/>
        <w:rPr>
          <w:sz w:val="28"/>
          <w:szCs w:val="28"/>
        </w:rPr>
      </w:pPr>
      <w:r w:rsidRPr="00144DE4">
        <w:rPr>
          <w:sz w:val="28"/>
        </w:rPr>
        <w:t xml:space="preserve">- </w:t>
      </w:r>
      <w:proofErr w:type="gramStart"/>
      <w:r w:rsidRPr="00144DE4">
        <w:rPr>
          <w:sz w:val="28"/>
        </w:rPr>
        <w:t>л</w:t>
      </w:r>
      <w:proofErr w:type="gramEnd"/>
      <w:r w:rsidRPr="00144DE4">
        <w:rPr>
          <w:sz w:val="28"/>
        </w:rPr>
        <w:t>имиты бюджетных обязательств составили 3 425 778 196,74 рублей;</w:t>
      </w:r>
    </w:p>
    <w:p w:rsidR="00553116" w:rsidRPr="00144DE4" w:rsidRDefault="00553116" w:rsidP="00553116">
      <w:pPr>
        <w:ind w:firstLine="708"/>
        <w:jc w:val="both"/>
        <w:rPr>
          <w:sz w:val="28"/>
          <w:szCs w:val="28"/>
        </w:rPr>
      </w:pPr>
      <w:r w:rsidRPr="00144DE4">
        <w:rPr>
          <w:sz w:val="28"/>
          <w:szCs w:val="28"/>
        </w:rPr>
        <w:t>- исполнено через финансовые органы – 3 295 458 526,37 рублей, что составляет 96</w:t>
      </w:r>
      <w:r>
        <w:rPr>
          <w:sz w:val="28"/>
          <w:szCs w:val="28"/>
        </w:rPr>
        <w:t>,</w:t>
      </w:r>
      <w:r w:rsidRPr="00144DE4">
        <w:rPr>
          <w:sz w:val="28"/>
          <w:szCs w:val="28"/>
        </w:rPr>
        <w:t xml:space="preserve">20%. </w:t>
      </w:r>
    </w:p>
    <w:p w:rsidR="00553116" w:rsidRPr="00144DE4" w:rsidRDefault="00553116" w:rsidP="00553116">
      <w:pPr>
        <w:ind w:firstLine="708"/>
        <w:jc w:val="both"/>
        <w:rPr>
          <w:sz w:val="28"/>
          <w:szCs w:val="28"/>
        </w:rPr>
      </w:pPr>
      <w:r w:rsidRPr="00144DE4">
        <w:rPr>
          <w:sz w:val="28"/>
          <w:szCs w:val="28"/>
        </w:rPr>
        <w:t>- неисполненные назначения по ассигнованиям – 130 319 670,37 рублей;</w:t>
      </w:r>
    </w:p>
    <w:p w:rsidR="00553116" w:rsidRPr="00144DE4" w:rsidRDefault="00553116" w:rsidP="00553116">
      <w:pPr>
        <w:ind w:firstLine="708"/>
        <w:jc w:val="both"/>
        <w:rPr>
          <w:sz w:val="28"/>
          <w:szCs w:val="28"/>
        </w:rPr>
      </w:pPr>
      <w:r w:rsidRPr="00144DE4">
        <w:rPr>
          <w:sz w:val="28"/>
          <w:szCs w:val="28"/>
        </w:rPr>
        <w:t>- неисполненные назначения по лимитам бюджетных обязательств –           130 319 670,37 рублей.</w:t>
      </w:r>
    </w:p>
    <w:p w:rsidR="00553116" w:rsidRDefault="00553116" w:rsidP="00553116">
      <w:pPr>
        <w:ind w:firstLine="708"/>
        <w:jc w:val="both"/>
        <w:rPr>
          <w:sz w:val="28"/>
          <w:szCs w:val="28"/>
        </w:rPr>
      </w:pPr>
      <w:r w:rsidRPr="00D80A5C">
        <w:rPr>
          <w:sz w:val="28"/>
          <w:szCs w:val="28"/>
        </w:rPr>
        <w:t xml:space="preserve">Дебиторская задолженность (ф.0503169) по состоянию на 1 января 2021 года составила 18 585 838,83 рублей и увеличена по сравнению с концом аналогичного периода прошлого финансового года на 15 705 133,56 рублей. На 01.01.2020г. дебиторская задолженность составляет 21 160,68 тыс. рублей. </w:t>
      </w:r>
    </w:p>
    <w:p w:rsidR="00553116" w:rsidRPr="00D80A5C" w:rsidRDefault="00553116" w:rsidP="00553116">
      <w:pPr>
        <w:ind w:firstLine="708"/>
        <w:jc w:val="both"/>
        <w:rPr>
          <w:sz w:val="28"/>
          <w:szCs w:val="28"/>
        </w:rPr>
      </w:pPr>
      <w:r w:rsidRPr="00FB14DD">
        <w:rPr>
          <w:sz w:val="28"/>
          <w:szCs w:val="28"/>
        </w:rPr>
        <w:t>Просроченная дебиторская задолженность отсутствует.</w:t>
      </w:r>
    </w:p>
    <w:p w:rsidR="00553116" w:rsidRDefault="00553116" w:rsidP="00553116">
      <w:pPr>
        <w:ind w:firstLine="708"/>
        <w:jc w:val="both"/>
        <w:rPr>
          <w:sz w:val="28"/>
          <w:szCs w:val="28"/>
        </w:rPr>
      </w:pPr>
      <w:r w:rsidRPr="00D80A5C">
        <w:rPr>
          <w:sz w:val="28"/>
          <w:szCs w:val="28"/>
        </w:rPr>
        <w:t>Кредиторская задолженность (ф.0503169) на 1 января 2021 составила  13 411 394,64 рублей и по сравнению с началом отчетного периода уменьшилась на 2 852 889,41 рубль и составила 16 264 284,05 рублей. Просроченная кредиторская задолженность составляет 1 529 220,00 рублей перед ООО «</w:t>
      </w:r>
      <w:proofErr w:type="spellStart"/>
      <w:r w:rsidRPr="00D80A5C">
        <w:rPr>
          <w:sz w:val="28"/>
          <w:szCs w:val="28"/>
        </w:rPr>
        <w:t>Стройгазсервис</w:t>
      </w:r>
      <w:proofErr w:type="spellEnd"/>
      <w:r w:rsidRPr="00D80A5C">
        <w:rPr>
          <w:sz w:val="28"/>
          <w:szCs w:val="28"/>
        </w:rPr>
        <w:t>».</w:t>
      </w:r>
    </w:p>
    <w:p w:rsidR="00553116" w:rsidRDefault="00553116" w:rsidP="00553116">
      <w:pPr>
        <w:ind w:firstLine="708"/>
        <w:jc w:val="both"/>
        <w:rPr>
          <w:b/>
          <w:sz w:val="28"/>
          <w:szCs w:val="28"/>
        </w:rPr>
      </w:pPr>
      <w:r w:rsidRPr="00553116">
        <w:rPr>
          <w:b/>
          <w:sz w:val="28"/>
          <w:szCs w:val="28"/>
        </w:rPr>
        <w:t>8. По результатам контрольного мероприятия установлено:</w:t>
      </w:r>
    </w:p>
    <w:p w:rsidR="00553116" w:rsidRPr="00553116" w:rsidRDefault="00553116" w:rsidP="005531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53116">
        <w:rPr>
          <w:b/>
          <w:sz w:val="28"/>
          <w:szCs w:val="28"/>
        </w:rPr>
        <w:t>8</w:t>
      </w:r>
      <w:r w:rsidRPr="00553116">
        <w:rPr>
          <w:b/>
          <w:sz w:val="28"/>
          <w:szCs w:val="28"/>
        </w:rPr>
        <w:t>.1. Нарушение порядка составления, утверждения и ведения бюджетной сметы органами государственной власти, государственными органами, органами местного самоуправления (пункт 1.2.45.1 Классификатора нарушений).</w:t>
      </w:r>
    </w:p>
    <w:p w:rsidR="00553116" w:rsidRDefault="00553116" w:rsidP="0055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959">
        <w:rPr>
          <w:sz w:val="28"/>
          <w:szCs w:val="28"/>
        </w:rPr>
        <w:t xml:space="preserve">В нарушение пункта 1 статьи 221 </w:t>
      </w:r>
      <w:r>
        <w:rPr>
          <w:sz w:val="28"/>
          <w:szCs w:val="28"/>
        </w:rPr>
        <w:t>БК РФ</w:t>
      </w:r>
      <w:r w:rsidRPr="00E06959">
        <w:rPr>
          <w:sz w:val="28"/>
          <w:szCs w:val="28"/>
        </w:rPr>
        <w:t>, пункта 8 Общих требований,</w:t>
      </w:r>
      <w:r w:rsidRPr="00CD268C">
        <w:rPr>
          <w:i/>
          <w:sz w:val="28"/>
          <w:szCs w:val="28"/>
        </w:rPr>
        <w:t xml:space="preserve"> </w:t>
      </w:r>
      <w:r w:rsidRPr="00CD268C">
        <w:rPr>
          <w:sz w:val="28"/>
          <w:szCs w:val="28"/>
        </w:rPr>
        <w:t xml:space="preserve">бюджетная смета Администрации городского округа Серпухов на 2020 финансовый год (на 2020 год и плановый период 2021 и 2022 годов) от </w:t>
      </w:r>
      <w:r w:rsidRPr="00CD268C">
        <w:rPr>
          <w:sz w:val="28"/>
          <w:szCs w:val="28"/>
        </w:rPr>
        <w:lastRenderedPageBreak/>
        <w:t>31.12.2020г. утверждена в отсутствие обоснований (расчетов) плановых сметных по</w:t>
      </w:r>
      <w:r>
        <w:rPr>
          <w:sz w:val="28"/>
          <w:szCs w:val="28"/>
        </w:rPr>
        <w:t>казателей.</w:t>
      </w:r>
    </w:p>
    <w:p w:rsidR="00553116" w:rsidRPr="00CD268C" w:rsidRDefault="00553116" w:rsidP="00553116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 w:rsidRPr="00CD268C">
        <w:rPr>
          <w:b/>
          <w:sz w:val="28"/>
          <w:szCs w:val="28"/>
        </w:rPr>
        <w:t>Неосуществление бюджетных полномочий главного распорядителя (распорядителя) бюджетных средств (пункт 1.2.97 Классификатора нарушений)</w:t>
      </w:r>
    </w:p>
    <w:p w:rsidR="00553116" w:rsidRDefault="00553116" w:rsidP="0055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06959">
        <w:rPr>
          <w:sz w:val="28"/>
          <w:szCs w:val="28"/>
        </w:rPr>
        <w:t>В нарушение статьи 158, 161, 162, 221 БК РФ и Общих требований</w:t>
      </w:r>
      <w:r>
        <w:rPr>
          <w:sz w:val="28"/>
          <w:szCs w:val="28"/>
        </w:rPr>
        <w:t xml:space="preserve"> </w:t>
      </w:r>
      <w:r w:rsidRPr="00923DD6">
        <w:rPr>
          <w:sz w:val="28"/>
          <w:szCs w:val="28"/>
        </w:rPr>
        <w:t>к порядку составления, утверждения и ведения бюджетных смет казенных учреждений</w:t>
      </w:r>
      <w:r>
        <w:rPr>
          <w:sz w:val="28"/>
          <w:szCs w:val="28"/>
        </w:rPr>
        <w:t>,</w:t>
      </w:r>
      <w:r w:rsidRPr="00923DD6">
        <w:t xml:space="preserve"> </w:t>
      </w:r>
      <w:r w:rsidRPr="00923DD6">
        <w:rPr>
          <w:sz w:val="28"/>
          <w:szCs w:val="28"/>
        </w:rPr>
        <w:t>утвержденных приказом Министерства финансов Российской Федерации от 14.02.2018 №26н</w:t>
      </w:r>
      <w:r w:rsidRPr="00E06959">
        <w:rPr>
          <w:sz w:val="28"/>
          <w:szCs w:val="28"/>
        </w:rPr>
        <w:t xml:space="preserve">, </w:t>
      </w:r>
      <w:r w:rsidRPr="00CD268C">
        <w:rPr>
          <w:sz w:val="28"/>
          <w:szCs w:val="28"/>
        </w:rPr>
        <w:t xml:space="preserve">Порядок составления, утверждения и ведения бюджетной сметы </w:t>
      </w:r>
      <w:r>
        <w:rPr>
          <w:sz w:val="28"/>
          <w:szCs w:val="28"/>
        </w:rPr>
        <w:t>на 2020 год</w:t>
      </w:r>
      <w:r w:rsidRPr="00CD268C">
        <w:rPr>
          <w:sz w:val="28"/>
          <w:szCs w:val="28"/>
        </w:rPr>
        <w:t xml:space="preserve"> в отношении муниципальных казенных учреждений, находящихся в ведении Администрации городского округа Серпухов отсутствует. </w:t>
      </w:r>
      <w:proofErr w:type="gramEnd"/>
    </w:p>
    <w:p w:rsidR="00553116" w:rsidRPr="00CD268C" w:rsidRDefault="00553116" w:rsidP="00553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.3. </w:t>
      </w:r>
      <w:r w:rsidRPr="00CD268C">
        <w:rPr>
          <w:b/>
          <w:sz w:val="28"/>
          <w:szCs w:val="28"/>
        </w:rPr>
        <w:t>Нарушение главным распорядителем бюджетных средств порядка планирования бюджетных ассигнований и методики, устанавливаемой соответствующим финансовым органом (пункт 1.1.15 Классификатора нарушений).</w:t>
      </w:r>
    </w:p>
    <w:p w:rsidR="00553116" w:rsidRPr="00CD268C" w:rsidRDefault="00553116" w:rsidP="00553116">
      <w:pPr>
        <w:ind w:firstLine="708"/>
        <w:jc w:val="both"/>
        <w:rPr>
          <w:sz w:val="28"/>
          <w:szCs w:val="28"/>
        </w:rPr>
      </w:pPr>
      <w:r w:rsidRPr="00CD268C">
        <w:rPr>
          <w:sz w:val="28"/>
          <w:szCs w:val="28"/>
        </w:rPr>
        <w:t xml:space="preserve">В соответствии с под.4 п.1 ст.158 БК РФ, главный распорядитель бюджетных средств осуществляет планирование соответствующих расходов бюджета, составляет обоснования бюджетных ассигнований. </w:t>
      </w:r>
    </w:p>
    <w:p w:rsidR="00553116" w:rsidRDefault="00553116" w:rsidP="0055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959">
        <w:rPr>
          <w:sz w:val="28"/>
          <w:szCs w:val="28"/>
        </w:rPr>
        <w:t>В нарушение под.4 п.1 ст.158 БК РФ</w:t>
      </w:r>
      <w:r w:rsidRPr="00CD268C">
        <w:rPr>
          <w:sz w:val="28"/>
          <w:szCs w:val="28"/>
        </w:rPr>
        <w:t xml:space="preserve"> обоснования (расчеты) плановых сметных показателей на 2020 год и на плановый период 2021 и 2022 годов к бюджетной смете Администрации городского округа Серпухов на 2020 год финансовый год и на плановый период 2021 и 2022 годов отсутствуют.</w:t>
      </w:r>
    </w:p>
    <w:p w:rsidR="00553116" w:rsidRPr="00CD268C" w:rsidRDefault="00553116" w:rsidP="0055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.4. </w:t>
      </w:r>
      <w:r w:rsidRPr="00CD268C">
        <w:rPr>
          <w:b/>
          <w:sz w:val="28"/>
          <w:szCs w:val="28"/>
        </w:rPr>
        <w:t>Неосуществление бюджетных полномочий главного администратора (администратора) доходов бюджета (пункт 1.2.98 Классификатора нарушений).</w:t>
      </w:r>
    </w:p>
    <w:p w:rsidR="00553116" w:rsidRPr="00CD268C" w:rsidRDefault="00553116" w:rsidP="0055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268C">
        <w:rPr>
          <w:sz w:val="28"/>
          <w:szCs w:val="28"/>
        </w:rPr>
        <w:t>В нарушение п.1 ст.160.1 БК РФ, Методика прогнозирования поступлений доходов в бюджет городского округа Серпухов, администрируемых Администрацией городского округа Серпухов не соответствует общим требованиям от 23.06.2016 №574</w:t>
      </w:r>
      <w:r>
        <w:rPr>
          <w:sz w:val="28"/>
          <w:szCs w:val="28"/>
        </w:rPr>
        <w:t>.</w:t>
      </w:r>
    </w:p>
    <w:p w:rsidR="00553116" w:rsidRPr="00CD268C" w:rsidRDefault="00553116" w:rsidP="0055311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.5 </w:t>
      </w:r>
      <w:r w:rsidRPr="00CD268C">
        <w:rPr>
          <w:b/>
          <w:sz w:val="28"/>
          <w:szCs w:val="28"/>
        </w:rPr>
        <w:t>Неэффективное использование бюджетных средств, в ходе исполнения бюджетов (п.1.2.111р. Классификатора нарушений)</w:t>
      </w:r>
    </w:p>
    <w:p w:rsidR="00553116" w:rsidRDefault="00553116" w:rsidP="0055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959">
        <w:rPr>
          <w:sz w:val="28"/>
          <w:szCs w:val="28"/>
        </w:rPr>
        <w:t xml:space="preserve">В нарушение статьи 34 БК РФ </w:t>
      </w:r>
      <w:r w:rsidRPr="00CD268C">
        <w:rPr>
          <w:sz w:val="28"/>
          <w:szCs w:val="28"/>
        </w:rPr>
        <w:t>допущено неэффективное использование бюджетных средств на сумму 1</w:t>
      </w:r>
      <w:r w:rsidRPr="00C37253">
        <w:rPr>
          <w:sz w:val="28"/>
          <w:szCs w:val="28"/>
        </w:rPr>
        <w:t> </w:t>
      </w:r>
      <w:r w:rsidRPr="00CD268C">
        <w:rPr>
          <w:sz w:val="28"/>
          <w:szCs w:val="28"/>
        </w:rPr>
        <w:t>415</w:t>
      </w:r>
      <w:r w:rsidRPr="00C37253">
        <w:rPr>
          <w:sz w:val="28"/>
          <w:szCs w:val="28"/>
        </w:rPr>
        <w:t> </w:t>
      </w:r>
      <w:r w:rsidRPr="00CD268C">
        <w:rPr>
          <w:sz w:val="28"/>
          <w:szCs w:val="28"/>
        </w:rPr>
        <w:t>000,77 рублей (суммы оплаченных штрафных санкций за нарушение порядка и сроков уплаты налогов, сборов и других обязательных платежей в бюджет, в том числе административных)</w:t>
      </w:r>
      <w:r>
        <w:rPr>
          <w:sz w:val="28"/>
          <w:szCs w:val="28"/>
        </w:rPr>
        <w:t>.</w:t>
      </w:r>
    </w:p>
    <w:p w:rsidR="00553116" w:rsidRPr="00D468B3" w:rsidRDefault="00553116" w:rsidP="0055311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.6. </w:t>
      </w:r>
      <w:r>
        <w:rPr>
          <w:b/>
          <w:sz w:val="28"/>
          <w:szCs w:val="28"/>
        </w:rPr>
        <w:t>Н</w:t>
      </w:r>
      <w:r w:rsidRPr="00D468B3">
        <w:rPr>
          <w:b/>
          <w:sz w:val="28"/>
          <w:szCs w:val="28"/>
        </w:rPr>
        <w:t>арушени</w:t>
      </w:r>
      <w:r>
        <w:rPr>
          <w:b/>
          <w:sz w:val="28"/>
          <w:szCs w:val="28"/>
        </w:rPr>
        <w:t>е</w:t>
      </w:r>
      <w:r w:rsidRPr="00D468B3">
        <w:rPr>
          <w:b/>
          <w:sz w:val="28"/>
          <w:szCs w:val="28"/>
        </w:rPr>
        <w:t xml:space="preserve"> общих требований к бухгалтерской (финансовой) отчетности экономического субъекта, в том числе к ее составу (п. 2.9 Классификатора нарушений</w:t>
      </w:r>
      <w:r>
        <w:rPr>
          <w:b/>
          <w:sz w:val="28"/>
          <w:szCs w:val="28"/>
        </w:rPr>
        <w:t>)</w:t>
      </w:r>
      <w:r w:rsidRPr="00D468B3">
        <w:rPr>
          <w:b/>
          <w:sz w:val="28"/>
          <w:szCs w:val="28"/>
        </w:rPr>
        <w:t xml:space="preserve">, из них: </w:t>
      </w:r>
    </w:p>
    <w:p w:rsidR="00553116" w:rsidRPr="00D468B3" w:rsidRDefault="00553116" w:rsidP="00553116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.6</w:t>
      </w:r>
      <w:r w:rsidRPr="00D468B3">
        <w:rPr>
          <w:sz w:val="28"/>
          <w:szCs w:val="28"/>
        </w:rPr>
        <w:t xml:space="preserve">.1. </w:t>
      </w:r>
      <w:r w:rsidRPr="00C072BE">
        <w:rPr>
          <w:sz w:val="28"/>
          <w:szCs w:val="28"/>
        </w:rPr>
        <w:t xml:space="preserve">В нарушение п.8 Инструкции 191н в пункте 5.10 раздела 5 пояснительной записки ф. 0503160 в перечне форм отчетности, не включенных в состав бюджетной отчетности за отчетный период в виду отсутствия числовых значений </w:t>
      </w:r>
      <w:r>
        <w:rPr>
          <w:sz w:val="28"/>
          <w:szCs w:val="28"/>
        </w:rPr>
        <w:t>(</w:t>
      </w:r>
      <w:r w:rsidRPr="00C072BE">
        <w:rPr>
          <w:sz w:val="28"/>
          <w:szCs w:val="28"/>
        </w:rPr>
        <w:t>показателей</w:t>
      </w:r>
      <w:r>
        <w:rPr>
          <w:sz w:val="28"/>
          <w:szCs w:val="28"/>
        </w:rPr>
        <w:t>)</w:t>
      </w:r>
      <w:r w:rsidRPr="00C072BE">
        <w:rPr>
          <w:sz w:val="28"/>
          <w:szCs w:val="28"/>
        </w:rPr>
        <w:t>, отсутствует форма 0503166.</w:t>
      </w:r>
    </w:p>
    <w:p w:rsidR="00553116" w:rsidRPr="00D468B3" w:rsidRDefault="00553116" w:rsidP="0055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>6</w:t>
      </w:r>
      <w:r w:rsidRPr="00D468B3">
        <w:rPr>
          <w:sz w:val="28"/>
          <w:szCs w:val="28"/>
        </w:rPr>
        <w:t xml:space="preserve">.2. </w:t>
      </w:r>
      <w:proofErr w:type="gramStart"/>
      <w:r w:rsidRPr="00E06959">
        <w:rPr>
          <w:sz w:val="28"/>
          <w:szCs w:val="28"/>
        </w:rPr>
        <w:t>В нарушение статьи 13, 14 Федерального закона № 402-ФЗ, пунктов 57 и 163 Инструкции №191н</w:t>
      </w:r>
      <w:r w:rsidRPr="00D468B3">
        <w:rPr>
          <w:sz w:val="28"/>
          <w:szCs w:val="28"/>
        </w:rPr>
        <w:t xml:space="preserve"> в графе 9 формы 0503164 указана информация по иным причинам (подлежит отражению в текстовой части раздела 3 «Анализ отчета об исполнении бюджета субъектом бюджетной отчетности» Пояснительной записки ф.0503160), однако данная информация не отражена в разделе 3 «Анализ отчета об исполнении бюджета субъектом бюджетной отчетности» Пояснительной</w:t>
      </w:r>
      <w:proofErr w:type="gramEnd"/>
      <w:r w:rsidRPr="00D468B3">
        <w:rPr>
          <w:sz w:val="28"/>
          <w:szCs w:val="28"/>
        </w:rPr>
        <w:t xml:space="preserve"> записки (форма 0503160) по коду бюджетной классификации: </w:t>
      </w:r>
    </w:p>
    <w:p w:rsidR="00553116" w:rsidRPr="00D468B3" w:rsidRDefault="00553116" w:rsidP="0055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68B3">
        <w:rPr>
          <w:sz w:val="28"/>
          <w:szCs w:val="28"/>
        </w:rPr>
        <w:t>- 001 11302064040000130, исполнено на 164,35%;</w:t>
      </w:r>
    </w:p>
    <w:p w:rsidR="00553116" w:rsidRPr="00D468B3" w:rsidRDefault="00553116" w:rsidP="0055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68B3">
        <w:rPr>
          <w:sz w:val="28"/>
          <w:szCs w:val="28"/>
        </w:rPr>
        <w:t>- 001 1160701004000140, исполнено на 185,42%;</w:t>
      </w:r>
    </w:p>
    <w:p w:rsidR="00553116" w:rsidRPr="00D468B3" w:rsidRDefault="00553116" w:rsidP="0055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68B3">
        <w:rPr>
          <w:sz w:val="28"/>
          <w:szCs w:val="28"/>
        </w:rPr>
        <w:t>- 001 11607090040000140, исполнено на 456,16%.</w:t>
      </w:r>
    </w:p>
    <w:p w:rsidR="00553116" w:rsidRPr="00D468B3" w:rsidRDefault="00553116" w:rsidP="00553116">
      <w:pPr>
        <w:ind w:firstLine="708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.7. </w:t>
      </w:r>
      <w:r>
        <w:rPr>
          <w:b/>
          <w:sz w:val="28"/>
          <w:szCs w:val="28"/>
        </w:rPr>
        <w:t>Г</w:t>
      </w:r>
      <w:r w:rsidRPr="00D468B3">
        <w:rPr>
          <w:b/>
          <w:sz w:val="28"/>
          <w:szCs w:val="28"/>
        </w:rPr>
        <w:t>рубо</w:t>
      </w:r>
      <w:r>
        <w:rPr>
          <w:b/>
          <w:sz w:val="28"/>
          <w:szCs w:val="28"/>
        </w:rPr>
        <w:t>е нарушение</w:t>
      </w:r>
      <w:r w:rsidRPr="00D468B3">
        <w:rPr>
          <w:b/>
          <w:sz w:val="28"/>
          <w:szCs w:val="28"/>
        </w:rPr>
        <w:t xml:space="preserve"> требований к бюджетному учету, повлекшее составление бюджетной отчетности, содержащей значительное искажением показателей  бюджетной отчетности, выраженное в искажение показателя бюджетной отчетности, в денежном измерении, которое привело к искажению информации об активах не менее чем на 1 </w:t>
      </w:r>
      <w:proofErr w:type="gramStart"/>
      <w:r w:rsidRPr="00D468B3">
        <w:rPr>
          <w:b/>
          <w:sz w:val="28"/>
          <w:szCs w:val="28"/>
        </w:rPr>
        <w:t>процент</w:t>
      </w:r>
      <w:proofErr w:type="gramEnd"/>
      <w:r w:rsidRPr="00D468B3">
        <w:rPr>
          <w:b/>
          <w:sz w:val="28"/>
          <w:szCs w:val="28"/>
        </w:rPr>
        <w:t xml:space="preserve"> но не более чем на 10 процентов и на сумму, превышающую один миллион рублей  (пункт 2.12.3 Классификатора нарушений).</w:t>
      </w:r>
    </w:p>
    <w:p w:rsidR="00553116" w:rsidRDefault="00553116" w:rsidP="00553116">
      <w:pPr>
        <w:ind w:firstLine="708"/>
        <w:jc w:val="both"/>
        <w:rPr>
          <w:sz w:val="28"/>
          <w:szCs w:val="28"/>
        </w:rPr>
      </w:pPr>
      <w:proofErr w:type="gramStart"/>
      <w:r w:rsidRPr="00E06959">
        <w:rPr>
          <w:sz w:val="28"/>
          <w:szCs w:val="28"/>
        </w:rPr>
        <w:t xml:space="preserve">В нарушение статьи 264.1 БК РФ, пункта 1 ст. 13 Федерального закона № 402-ФЗ, пункта 73 приказа №162н, пункта 17 Инструкции 191н, </w:t>
      </w:r>
      <w:r w:rsidRPr="00D468B3">
        <w:rPr>
          <w:sz w:val="28"/>
          <w:szCs w:val="28"/>
        </w:rPr>
        <w:t xml:space="preserve">графа 8 по строке 240 «Финансовые вложения» раздела </w:t>
      </w:r>
      <w:r w:rsidRPr="0048414F">
        <w:rPr>
          <w:sz w:val="28"/>
          <w:szCs w:val="28"/>
        </w:rPr>
        <w:t>II</w:t>
      </w:r>
      <w:r w:rsidRPr="00D468B3">
        <w:rPr>
          <w:sz w:val="28"/>
          <w:szCs w:val="28"/>
        </w:rPr>
        <w:t xml:space="preserve"> «Финансовые активы» баланса главного распорядителя, распорядителя, получателя бюджетных средств 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остаток по коду строки 240 на конец</w:t>
      </w:r>
      <w:proofErr w:type="gramEnd"/>
      <w:r w:rsidRPr="00D468B3">
        <w:rPr>
          <w:sz w:val="28"/>
          <w:szCs w:val="28"/>
        </w:rPr>
        <w:t xml:space="preserve"> отчетного периода по показателю финансовые вложения  </w:t>
      </w:r>
      <w:proofErr w:type="gramStart"/>
      <w:r w:rsidRPr="00D468B3">
        <w:rPr>
          <w:sz w:val="28"/>
          <w:szCs w:val="28"/>
        </w:rPr>
        <w:t>сформирован</w:t>
      </w:r>
      <w:proofErr w:type="gramEnd"/>
      <w:r w:rsidRPr="00D468B3">
        <w:rPr>
          <w:sz w:val="28"/>
          <w:szCs w:val="28"/>
        </w:rPr>
        <w:t xml:space="preserve"> с  искажением</w:t>
      </w:r>
      <w:r>
        <w:rPr>
          <w:sz w:val="28"/>
          <w:szCs w:val="28"/>
        </w:rPr>
        <w:t>.</w:t>
      </w:r>
    </w:p>
    <w:p w:rsidR="00553116" w:rsidRDefault="00553116" w:rsidP="0055311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.8. </w:t>
      </w:r>
      <w:proofErr w:type="gramStart"/>
      <w:r>
        <w:rPr>
          <w:b/>
          <w:sz w:val="28"/>
          <w:szCs w:val="28"/>
        </w:rPr>
        <w:t>П</w:t>
      </w:r>
      <w:r w:rsidRPr="00CF4151">
        <w:rPr>
          <w:b/>
          <w:sz w:val="28"/>
          <w:szCs w:val="28"/>
        </w:rPr>
        <w:t>ринят</w:t>
      </w:r>
      <w:r>
        <w:rPr>
          <w:b/>
          <w:sz w:val="28"/>
          <w:szCs w:val="28"/>
        </w:rPr>
        <w:t>ые</w:t>
      </w:r>
      <w:r w:rsidRPr="00CF4151">
        <w:rPr>
          <w:b/>
          <w:sz w:val="28"/>
          <w:szCs w:val="28"/>
        </w:rPr>
        <w:t xml:space="preserve"> к бухгалтерскому учету документ</w:t>
      </w:r>
      <w:r>
        <w:rPr>
          <w:b/>
          <w:sz w:val="28"/>
          <w:szCs w:val="28"/>
        </w:rPr>
        <w:t>ы</w:t>
      </w:r>
      <w:r w:rsidRPr="00CF4151">
        <w:rPr>
          <w:b/>
          <w:sz w:val="28"/>
          <w:szCs w:val="28"/>
        </w:rPr>
        <w:t>,  содержа</w:t>
      </w:r>
      <w:r>
        <w:rPr>
          <w:b/>
          <w:sz w:val="28"/>
          <w:szCs w:val="28"/>
        </w:rPr>
        <w:t>т</w:t>
      </w:r>
      <w:r w:rsidRPr="00CF4151">
        <w:rPr>
          <w:b/>
          <w:sz w:val="28"/>
          <w:szCs w:val="28"/>
        </w:rPr>
        <w:t xml:space="preserve"> недостоверные данные о свершившихся фактах хозяйственной жизни  (пункт 2.2.1.</w:t>
      </w:r>
      <w:proofErr w:type="gramEnd"/>
      <w:r w:rsidRPr="00CF4151">
        <w:rPr>
          <w:b/>
          <w:sz w:val="28"/>
          <w:szCs w:val="28"/>
        </w:rPr>
        <w:t xml:space="preserve"> </w:t>
      </w:r>
      <w:proofErr w:type="gramStart"/>
      <w:r w:rsidRPr="00CF4151">
        <w:rPr>
          <w:b/>
          <w:sz w:val="28"/>
          <w:szCs w:val="28"/>
        </w:rPr>
        <w:t>Классификатора нарушений)</w:t>
      </w:r>
      <w:r>
        <w:rPr>
          <w:b/>
          <w:sz w:val="28"/>
          <w:szCs w:val="28"/>
        </w:rPr>
        <w:t>.</w:t>
      </w:r>
      <w:proofErr w:type="gramEnd"/>
    </w:p>
    <w:p w:rsidR="00553116" w:rsidRDefault="00553116" w:rsidP="00553116">
      <w:pPr>
        <w:ind w:firstLine="709"/>
        <w:jc w:val="both"/>
      </w:pPr>
      <w:r>
        <w:rPr>
          <w:sz w:val="28"/>
          <w:szCs w:val="28"/>
        </w:rPr>
        <w:t>8</w:t>
      </w:r>
      <w:r>
        <w:rPr>
          <w:sz w:val="28"/>
          <w:szCs w:val="28"/>
        </w:rPr>
        <w:t>.8</w:t>
      </w:r>
      <w:r w:rsidRPr="00CF4151">
        <w:rPr>
          <w:sz w:val="28"/>
          <w:szCs w:val="28"/>
        </w:rPr>
        <w:t>.1</w:t>
      </w:r>
      <w:r w:rsidRPr="00992423">
        <w:rPr>
          <w:sz w:val="28"/>
          <w:szCs w:val="28"/>
        </w:rPr>
        <w:t xml:space="preserve">. В нарушение п.1,3 статьи 9 Федерального закона №402-ФЗ </w:t>
      </w:r>
      <w:r w:rsidRPr="00E338B7">
        <w:rPr>
          <w:sz w:val="28"/>
          <w:szCs w:val="28"/>
        </w:rPr>
        <w:t xml:space="preserve">допущено принятие к бухгалтерскому учету документов, которыми оформляются не имевшие места факты хозяйственной жизни, в том числе лежащие в основе </w:t>
      </w:r>
      <w:r w:rsidRPr="00F87A21">
        <w:rPr>
          <w:sz w:val="28"/>
          <w:szCs w:val="28"/>
        </w:rPr>
        <w:t>мнимых и притворных</w:t>
      </w:r>
      <w:r w:rsidRPr="00E338B7">
        <w:rPr>
          <w:sz w:val="28"/>
          <w:szCs w:val="28"/>
        </w:rPr>
        <w:t xml:space="preserve"> сделок. На  баланс Администрации городского округа Серпухов необоснованно принята на учет номинальная стоимость акций ОАО «Ипотечная корпорация Серпухова» в сумме 100 000,00 рублей</w:t>
      </w:r>
      <w:r>
        <w:rPr>
          <w:sz w:val="28"/>
          <w:szCs w:val="28"/>
        </w:rPr>
        <w:t>.</w:t>
      </w:r>
    </w:p>
    <w:p w:rsidR="00553116" w:rsidRDefault="00553116" w:rsidP="00553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87A21">
        <w:rPr>
          <w:sz w:val="28"/>
          <w:szCs w:val="28"/>
        </w:rPr>
        <w:t>8</w:t>
      </w:r>
      <w:r w:rsidRPr="00CF4151">
        <w:rPr>
          <w:sz w:val="28"/>
          <w:szCs w:val="28"/>
        </w:rPr>
        <w:t>.2</w:t>
      </w:r>
      <w:r w:rsidRPr="00992423">
        <w:rPr>
          <w:sz w:val="28"/>
          <w:szCs w:val="28"/>
        </w:rPr>
        <w:t xml:space="preserve">. </w:t>
      </w:r>
      <w:proofErr w:type="gramStart"/>
      <w:r w:rsidRPr="00992423">
        <w:rPr>
          <w:sz w:val="28"/>
          <w:szCs w:val="28"/>
        </w:rPr>
        <w:t>В нарушение п.1,3 статьи 9 Федерального закона №402-ФЗ</w:t>
      </w:r>
      <w:r w:rsidRPr="00CF4151">
        <w:rPr>
          <w:sz w:val="28"/>
          <w:szCs w:val="28"/>
        </w:rPr>
        <w:t xml:space="preserve"> на счете 204.32 по состоянию на 01.01.2020г. и на 01.01.2021г. числятся вложения в уставной капитал МУП СМР «ЖКХ» в сумме 22</w:t>
      </w:r>
      <w:r w:rsidRPr="0048414F">
        <w:rPr>
          <w:sz w:val="28"/>
          <w:szCs w:val="28"/>
        </w:rPr>
        <w:t> </w:t>
      </w:r>
      <w:r w:rsidRPr="00CF4151">
        <w:rPr>
          <w:sz w:val="28"/>
          <w:szCs w:val="28"/>
        </w:rPr>
        <w:t>000</w:t>
      </w:r>
      <w:r w:rsidRPr="0048414F">
        <w:rPr>
          <w:sz w:val="28"/>
          <w:szCs w:val="28"/>
        </w:rPr>
        <w:t> </w:t>
      </w:r>
      <w:r w:rsidRPr="00CF4151">
        <w:rPr>
          <w:sz w:val="28"/>
          <w:szCs w:val="28"/>
        </w:rPr>
        <w:t>000,00 рублей, однако согласно выписке из ЕГРЮЛ уставной фонд МУП СМР «ЖКХ» составляет 22</w:t>
      </w:r>
      <w:r w:rsidRPr="0048414F">
        <w:rPr>
          <w:sz w:val="28"/>
          <w:szCs w:val="28"/>
        </w:rPr>
        <w:t> </w:t>
      </w:r>
      <w:r w:rsidRPr="00CF4151">
        <w:rPr>
          <w:sz w:val="28"/>
          <w:szCs w:val="28"/>
        </w:rPr>
        <w:t>301</w:t>
      </w:r>
      <w:r w:rsidRPr="0048414F">
        <w:rPr>
          <w:sz w:val="28"/>
          <w:szCs w:val="28"/>
        </w:rPr>
        <w:t> </w:t>
      </w:r>
      <w:r w:rsidRPr="00CF4151">
        <w:rPr>
          <w:sz w:val="28"/>
          <w:szCs w:val="28"/>
        </w:rPr>
        <w:t>804,27 рублей, что на 301</w:t>
      </w:r>
      <w:r w:rsidRPr="0048414F">
        <w:rPr>
          <w:sz w:val="28"/>
          <w:szCs w:val="28"/>
        </w:rPr>
        <w:t> </w:t>
      </w:r>
      <w:r w:rsidRPr="00CF4151">
        <w:rPr>
          <w:sz w:val="28"/>
          <w:szCs w:val="28"/>
        </w:rPr>
        <w:t>804,27 рублей больше учтенной на счете 204.32</w:t>
      </w:r>
      <w:proofErr w:type="gramEnd"/>
      <w:r w:rsidRPr="00CF4151">
        <w:rPr>
          <w:sz w:val="28"/>
          <w:szCs w:val="28"/>
        </w:rPr>
        <w:t xml:space="preserve"> суммы.</w:t>
      </w:r>
    </w:p>
    <w:p w:rsidR="00553116" w:rsidRPr="00CF4151" w:rsidRDefault="00553116" w:rsidP="0055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.9. </w:t>
      </w:r>
      <w:r w:rsidRPr="00CF4151">
        <w:rPr>
          <w:b/>
          <w:sz w:val="28"/>
          <w:szCs w:val="28"/>
        </w:rPr>
        <w:t>Нарушение требований, предъявляемых к регистру бухгалтерского учета (пункт 2.3 Классификатора нарушений)</w:t>
      </w:r>
    </w:p>
    <w:p w:rsidR="00553116" w:rsidRDefault="00553116" w:rsidP="00F87A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4151">
        <w:rPr>
          <w:sz w:val="28"/>
          <w:szCs w:val="28"/>
        </w:rPr>
        <w:lastRenderedPageBreak/>
        <w:t>В нарушение п.1 ст. 10 Федерального закона №402-ФЗ, приказа №162н от 06.12.2010г. первичные учетные документы несвоевременно отражались в регистрах бухгалтерского учета</w:t>
      </w:r>
      <w:r w:rsidR="00F87A21">
        <w:rPr>
          <w:sz w:val="28"/>
          <w:szCs w:val="28"/>
        </w:rPr>
        <w:t>.</w:t>
      </w:r>
    </w:p>
    <w:p w:rsidR="00F87A21" w:rsidRDefault="00F87A21" w:rsidP="00F87A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в адрес Администрации городского округа Серпухов и </w:t>
      </w:r>
      <w:r w:rsidRPr="00026DA5">
        <w:rPr>
          <w:sz w:val="28"/>
          <w:szCs w:val="28"/>
        </w:rPr>
        <w:t>МКУ «Управление по бухгалтерскому учету и отчетности Администрации городского округа Серпухов</w:t>
      </w:r>
      <w:r>
        <w:rPr>
          <w:sz w:val="28"/>
          <w:szCs w:val="28"/>
        </w:rPr>
        <w:t>»  вынесены представления по устранению выявленных нарушений и недостатков.</w:t>
      </w:r>
    </w:p>
    <w:p w:rsidR="00F87A21" w:rsidRDefault="00F87A21" w:rsidP="00F87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письма об основных итогах контрольного мероприятия направлены в Совет депутатов городского округа Серпухов Московской области и Главе городского округа Серпухов Московской области.</w:t>
      </w:r>
    </w:p>
    <w:p w:rsidR="00C27DCB" w:rsidRPr="00AB2C32" w:rsidRDefault="00C27DCB" w:rsidP="00C27DCB">
      <w:pPr>
        <w:ind w:firstLine="708"/>
        <w:jc w:val="both"/>
        <w:rPr>
          <w:sz w:val="28"/>
          <w:szCs w:val="28"/>
        </w:rPr>
      </w:pPr>
      <w:r w:rsidRPr="00E15F9E">
        <w:rPr>
          <w:sz w:val="28"/>
          <w:szCs w:val="28"/>
        </w:rPr>
        <w:t>Отчет о результатах контрольного мероприятия для сведения был направлен в Прокуратуру городского округа Серпухов.</w:t>
      </w:r>
    </w:p>
    <w:p w:rsidR="00E6238D" w:rsidRPr="00AB2C32" w:rsidRDefault="00E6238D" w:rsidP="00C27DCB">
      <w:pPr>
        <w:ind w:firstLine="708"/>
        <w:jc w:val="both"/>
        <w:rPr>
          <w:sz w:val="28"/>
          <w:szCs w:val="28"/>
        </w:rPr>
      </w:pPr>
      <w:bookmarkStart w:id="1" w:name="_GoBack"/>
      <w:bookmarkEnd w:id="1"/>
    </w:p>
    <w:sectPr w:rsidR="00E6238D" w:rsidRPr="00AB2C32" w:rsidSect="002E5D9C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3D" w:rsidRDefault="00703C3D" w:rsidP="002E5D9C">
      <w:r>
        <w:separator/>
      </w:r>
    </w:p>
  </w:endnote>
  <w:endnote w:type="continuationSeparator" w:id="0">
    <w:p w:rsidR="00703C3D" w:rsidRDefault="00703C3D" w:rsidP="002E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3D" w:rsidRDefault="00703C3D" w:rsidP="002E5D9C">
      <w:r>
        <w:separator/>
      </w:r>
    </w:p>
  </w:footnote>
  <w:footnote w:type="continuationSeparator" w:id="0">
    <w:p w:rsidR="00703C3D" w:rsidRDefault="00703C3D" w:rsidP="002E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457000"/>
      <w:docPartObj>
        <w:docPartGallery w:val="Page Numbers (Top of Page)"/>
        <w:docPartUnique/>
      </w:docPartObj>
    </w:sdtPr>
    <w:sdtEndPr/>
    <w:sdtContent>
      <w:p w:rsidR="002E5D9C" w:rsidRDefault="002E5D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A21">
          <w:rPr>
            <w:noProof/>
          </w:rPr>
          <w:t>4</w:t>
        </w:r>
        <w:r>
          <w:fldChar w:fldCharType="end"/>
        </w:r>
      </w:p>
    </w:sdtContent>
  </w:sdt>
  <w:p w:rsidR="002E5D9C" w:rsidRDefault="002E5D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04AC4"/>
    <w:multiLevelType w:val="multilevel"/>
    <w:tmpl w:val="0E74D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99C"/>
    <w:rsid w:val="000073BB"/>
    <w:rsid w:val="0001377F"/>
    <w:rsid w:val="00081C22"/>
    <w:rsid w:val="00097D25"/>
    <w:rsid w:val="000A0E26"/>
    <w:rsid w:val="000A2D22"/>
    <w:rsid w:val="000D7311"/>
    <w:rsid w:val="000E2560"/>
    <w:rsid w:val="000F2261"/>
    <w:rsid w:val="000F3F8B"/>
    <w:rsid w:val="001142BE"/>
    <w:rsid w:val="00137D66"/>
    <w:rsid w:val="0014799C"/>
    <w:rsid w:val="001830AF"/>
    <w:rsid w:val="00186C00"/>
    <w:rsid w:val="001A1DB0"/>
    <w:rsid w:val="001A4754"/>
    <w:rsid w:val="001A6A9F"/>
    <w:rsid w:val="001B2138"/>
    <w:rsid w:val="001C2C3A"/>
    <w:rsid w:val="0023302D"/>
    <w:rsid w:val="00235E7E"/>
    <w:rsid w:val="00296DBD"/>
    <w:rsid w:val="002A19F2"/>
    <w:rsid w:val="002B2768"/>
    <w:rsid w:val="002B7392"/>
    <w:rsid w:val="002D2AF6"/>
    <w:rsid w:val="002D4A53"/>
    <w:rsid w:val="002E015F"/>
    <w:rsid w:val="002E2ECD"/>
    <w:rsid w:val="002E4490"/>
    <w:rsid w:val="002E4730"/>
    <w:rsid w:val="002E5D9C"/>
    <w:rsid w:val="003145EC"/>
    <w:rsid w:val="00330393"/>
    <w:rsid w:val="003347F5"/>
    <w:rsid w:val="00336726"/>
    <w:rsid w:val="00341B70"/>
    <w:rsid w:val="003752D5"/>
    <w:rsid w:val="003921A5"/>
    <w:rsid w:val="00395033"/>
    <w:rsid w:val="003A3568"/>
    <w:rsid w:val="003A64A9"/>
    <w:rsid w:val="003A6AD9"/>
    <w:rsid w:val="003C4174"/>
    <w:rsid w:val="003C7381"/>
    <w:rsid w:val="003F4FF9"/>
    <w:rsid w:val="003F7439"/>
    <w:rsid w:val="004021DE"/>
    <w:rsid w:val="004207FF"/>
    <w:rsid w:val="00422617"/>
    <w:rsid w:val="00452306"/>
    <w:rsid w:val="00453233"/>
    <w:rsid w:val="0045630D"/>
    <w:rsid w:val="00461877"/>
    <w:rsid w:val="00467DF5"/>
    <w:rsid w:val="004723D5"/>
    <w:rsid w:val="00473DD1"/>
    <w:rsid w:val="00475A6B"/>
    <w:rsid w:val="00480D74"/>
    <w:rsid w:val="00486BD4"/>
    <w:rsid w:val="00492A7E"/>
    <w:rsid w:val="004B38BB"/>
    <w:rsid w:val="004C1D7F"/>
    <w:rsid w:val="004E0161"/>
    <w:rsid w:val="004E121E"/>
    <w:rsid w:val="004F6912"/>
    <w:rsid w:val="00516CBA"/>
    <w:rsid w:val="005278DB"/>
    <w:rsid w:val="00540947"/>
    <w:rsid w:val="00542D3C"/>
    <w:rsid w:val="00553116"/>
    <w:rsid w:val="00571A24"/>
    <w:rsid w:val="00582A7B"/>
    <w:rsid w:val="00587564"/>
    <w:rsid w:val="005915D8"/>
    <w:rsid w:val="00591E79"/>
    <w:rsid w:val="005950CB"/>
    <w:rsid w:val="005A1509"/>
    <w:rsid w:val="005B0A26"/>
    <w:rsid w:val="005E19DD"/>
    <w:rsid w:val="005E4B48"/>
    <w:rsid w:val="005E53E4"/>
    <w:rsid w:val="00616D92"/>
    <w:rsid w:val="00636B6E"/>
    <w:rsid w:val="006547CF"/>
    <w:rsid w:val="0066147A"/>
    <w:rsid w:val="00663241"/>
    <w:rsid w:val="006663C8"/>
    <w:rsid w:val="006779BA"/>
    <w:rsid w:val="006A7D65"/>
    <w:rsid w:val="006C76FC"/>
    <w:rsid w:val="006D1813"/>
    <w:rsid w:val="006D3EB5"/>
    <w:rsid w:val="006F09CE"/>
    <w:rsid w:val="006F6BEF"/>
    <w:rsid w:val="007003C7"/>
    <w:rsid w:val="00703C3D"/>
    <w:rsid w:val="00720991"/>
    <w:rsid w:val="00724F11"/>
    <w:rsid w:val="00752AED"/>
    <w:rsid w:val="00762028"/>
    <w:rsid w:val="00797F36"/>
    <w:rsid w:val="007A3236"/>
    <w:rsid w:val="007B6BA1"/>
    <w:rsid w:val="007C42ED"/>
    <w:rsid w:val="007C6DC1"/>
    <w:rsid w:val="007F322A"/>
    <w:rsid w:val="008040EC"/>
    <w:rsid w:val="00810229"/>
    <w:rsid w:val="00811F87"/>
    <w:rsid w:val="00816D90"/>
    <w:rsid w:val="008252F1"/>
    <w:rsid w:val="00825DB4"/>
    <w:rsid w:val="008833AE"/>
    <w:rsid w:val="008A11D0"/>
    <w:rsid w:val="008C0154"/>
    <w:rsid w:val="008E110C"/>
    <w:rsid w:val="008E3467"/>
    <w:rsid w:val="008F1039"/>
    <w:rsid w:val="00932B1D"/>
    <w:rsid w:val="00932B50"/>
    <w:rsid w:val="00943F3A"/>
    <w:rsid w:val="00957446"/>
    <w:rsid w:val="0096032F"/>
    <w:rsid w:val="009613BC"/>
    <w:rsid w:val="009668FC"/>
    <w:rsid w:val="00986747"/>
    <w:rsid w:val="009963A3"/>
    <w:rsid w:val="009B6883"/>
    <w:rsid w:val="009B7724"/>
    <w:rsid w:val="009C7B3E"/>
    <w:rsid w:val="00A27DD8"/>
    <w:rsid w:val="00A34A71"/>
    <w:rsid w:val="00A37F76"/>
    <w:rsid w:val="00A42836"/>
    <w:rsid w:val="00A53E66"/>
    <w:rsid w:val="00A70DBF"/>
    <w:rsid w:val="00A742C8"/>
    <w:rsid w:val="00A7541B"/>
    <w:rsid w:val="00A775C8"/>
    <w:rsid w:val="00A84809"/>
    <w:rsid w:val="00A9041C"/>
    <w:rsid w:val="00AB2C32"/>
    <w:rsid w:val="00AB6D15"/>
    <w:rsid w:val="00AD21EA"/>
    <w:rsid w:val="00AD774C"/>
    <w:rsid w:val="00AE1FE4"/>
    <w:rsid w:val="00AE7D76"/>
    <w:rsid w:val="00AF6A7E"/>
    <w:rsid w:val="00AF6AFA"/>
    <w:rsid w:val="00B20341"/>
    <w:rsid w:val="00B53976"/>
    <w:rsid w:val="00B80861"/>
    <w:rsid w:val="00B90199"/>
    <w:rsid w:val="00BE031C"/>
    <w:rsid w:val="00BF5C43"/>
    <w:rsid w:val="00C27DCB"/>
    <w:rsid w:val="00C7210F"/>
    <w:rsid w:val="00C75430"/>
    <w:rsid w:val="00C835AF"/>
    <w:rsid w:val="00C9194C"/>
    <w:rsid w:val="00CA08D2"/>
    <w:rsid w:val="00CB51DA"/>
    <w:rsid w:val="00CE0213"/>
    <w:rsid w:val="00CF6955"/>
    <w:rsid w:val="00D03691"/>
    <w:rsid w:val="00D374BE"/>
    <w:rsid w:val="00D41CDC"/>
    <w:rsid w:val="00D42E38"/>
    <w:rsid w:val="00D86840"/>
    <w:rsid w:val="00D87F62"/>
    <w:rsid w:val="00DA18CD"/>
    <w:rsid w:val="00DB5707"/>
    <w:rsid w:val="00DB61D9"/>
    <w:rsid w:val="00DC78B6"/>
    <w:rsid w:val="00DD1B1C"/>
    <w:rsid w:val="00E014E4"/>
    <w:rsid w:val="00E03762"/>
    <w:rsid w:val="00E252E2"/>
    <w:rsid w:val="00E4281B"/>
    <w:rsid w:val="00E43460"/>
    <w:rsid w:val="00E5602B"/>
    <w:rsid w:val="00E6238D"/>
    <w:rsid w:val="00EA63F8"/>
    <w:rsid w:val="00EF7F4D"/>
    <w:rsid w:val="00F11E09"/>
    <w:rsid w:val="00F33D01"/>
    <w:rsid w:val="00F417C8"/>
    <w:rsid w:val="00F50F6D"/>
    <w:rsid w:val="00F65A7C"/>
    <w:rsid w:val="00F75B92"/>
    <w:rsid w:val="00F80679"/>
    <w:rsid w:val="00F87A21"/>
    <w:rsid w:val="00FB29C0"/>
    <w:rsid w:val="00FB6B97"/>
    <w:rsid w:val="00FD733B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14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DC78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headertexttopleveltextcentertext">
    <w:name w:val="headertext topleveltext centertext"/>
    <w:basedOn w:val="a"/>
    <w:rsid w:val="00DC78B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E01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Абзац списка2"/>
    <w:basedOn w:val="a"/>
    <w:rsid w:val="00AF6AFA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2E5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5D9C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E5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5D9C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014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spserpuhov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CAF36-B363-4549-A546-C000564F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</dc:creator>
  <cp:lastModifiedBy>Пользователь</cp:lastModifiedBy>
  <cp:revision>43</cp:revision>
  <cp:lastPrinted>2021-03-24T12:59:00Z</cp:lastPrinted>
  <dcterms:created xsi:type="dcterms:W3CDTF">2019-10-28T12:57:00Z</dcterms:created>
  <dcterms:modified xsi:type="dcterms:W3CDTF">2021-12-16T13:30:00Z</dcterms:modified>
</cp:coreProperties>
</file>