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9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2B5084">
      <w:pPr>
        <w:rPr>
          <w:sz w:val="28"/>
          <w:szCs w:val="28"/>
        </w:rPr>
      </w:pPr>
    </w:p>
    <w:p w:rsidR="008A11D0" w:rsidRPr="002B5084" w:rsidRDefault="008A11D0" w:rsidP="002B5084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 </w:t>
      </w:r>
      <w:r w:rsidR="005F044B">
        <w:rPr>
          <w:b/>
          <w:sz w:val="28"/>
          <w:szCs w:val="28"/>
        </w:rPr>
        <w:t>«</w:t>
      </w:r>
      <w:r w:rsidR="005F044B" w:rsidRPr="005F044B">
        <w:rPr>
          <w:b/>
          <w:sz w:val="28"/>
          <w:szCs w:val="28"/>
        </w:rPr>
        <w:t xml:space="preserve">Оперативный контроль исполнения бюджета  городского округа Серпухов Московской области за </w:t>
      </w:r>
      <w:r w:rsidR="00445518">
        <w:rPr>
          <w:b/>
          <w:sz w:val="28"/>
          <w:szCs w:val="28"/>
        </w:rPr>
        <w:t>6</w:t>
      </w:r>
      <w:r w:rsidR="005F044B" w:rsidRPr="005F044B">
        <w:rPr>
          <w:b/>
          <w:sz w:val="28"/>
          <w:szCs w:val="28"/>
        </w:rPr>
        <w:t xml:space="preserve"> месяц</w:t>
      </w:r>
      <w:r w:rsidR="00445518">
        <w:rPr>
          <w:b/>
          <w:sz w:val="28"/>
          <w:szCs w:val="28"/>
        </w:rPr>
        <w:t>ев</w:t>
      </w:r>
      <w:r w:rsidR="005F044B" w:rsidRPr="005F044B">
        <w:rPr>
          <w:b/>
          <w:sz w:val="28"/>
          <w:szCs w:val="28"/>
        </w:rPr>
        <w:t xml:space="preserve"> 2020 года, включая подготовку инфор</w:t>
      </w:r>
      <w:r w:rsidR="005F044B">
        <w:rPr>
          <w:b/>
          <w:sz w:val="28"/>
          <w:szCs w:val="28"/>
        </w:rPr>
        <w:t>мации о ходе исполнения бюджета»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Pr="008A11D0">
        <w:rPr>
          <w:sz w:val="28"/>
          <w:szCs w:val="28"/>
        </w:rPr>
        <w:t xml:space="preserve">пункт </w:t>
      </w:r>
      <w:r w:rsidR="002B5084">
        <w:rPr>
          <w:sz w:val="28"/>
          <w:szCs w:val="28"/>
        </w:rPr>
        <w:t>1.</w:t>
      </w:r>
      <w:r w:rsidR="00445518">
        <w:rPr>
          <w:sz w:val="28"/>
          <w:szCs w:val="28"/>
        </w:rPr>
        <w:t>3</w:t>
      </w:r>
      <w:r w:rsidR="005F044B">
        <w:rPr>
          <w:sz w:val="28"/>
          <w:szCs w:val="28"/>
        </w:rPr>
        <w:t>.</w:t>
      </w:r>
      <w:r w:rsidRPr="008A11D0">
        <w:rPr>
          <w:sz w:val="28"/>
          <w:szCs w:val="28"/>
        </w:rPr>
        <w:t xml:space="preserve"> раздела </w:t>
      </w:r>
      <w:r w:rsidR="002B5084">
        <w:rPr>
          <w:sz w:val="28"/>
          <w:szCs w:val="28"/>
        </w:rPr>
        <w:t>1</w:t>
      </w:r>
      <w:r w:rsidRPr="008A11D0">
        <w:rPr>
          <w:sz w:val="28"/>
          <w:szCs w:val="28"/>
        </w:rPr>
        <w:t xml:space="preserve">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2B5084">
        <w:rPr>
          <w:sz w:val="28"/>
          <w:szCs w:val="28"/>
        </w:rPr>
        <w:t>.</w:t>
      </w:r>
      <w:proofErr w:type="gramEnd"/>
    </w:p>
    <w:p w:rsidR="005F044B" w:rsidRDefault="008A11D0" w:rsidP="005F044B">
      <w:pPr>
        <w:pStyle w:val="af"/>
        <w:spacing w:line="240" w:lineRule="auto"/>
        <w:ind w:left="0" w:firstLine="708"/>
      </w:pPr>
      <w:r w:rsidRPr="008A11D0">
        <w:rPr>
          <w:b/>
          <w:szCs w:val="28"/>
        </w:rPr>
        <w:t xml:space="preserve">2. Предмет </w:t>
      </w:r>
      <w:r w:rsidR="002B5084">
        <w:rPr>
          <w:b/>
          <w:szCs w:val="28"/>
        </w:rPr>
        <w:t>экспертно-аналитического</w:t>
      </w:r>
      <w:r w:rsidR="002B5084" w:rsidRPr="008A11D0">
        <w:rPr>
          <w:b/>
          <w:szCs w:val="28"/>
        </w:rPr>
        <w:t xml:space="preserve"> </w:t>
      </w:r>
      <w:r w:rsidRPr="008A11D0">
        <w:rPr>
          <w:b/>
          <w:szCs w:val="28"/>
        </w:rPr>
        <w:t>мероприятия:</w:t>
      </w:r>
      <w:r w:rsidRPr="008A11D0">
        <w:rPr>
          <w:szCs w:val="28"/>
        </w:rPr>
        <w:t xml:space="preserve"> </w:t>
      </w:r>
      <w:r w:rsidR="005F044B" w:rsidRPr="005F044B">
        <w:t xml:space="preserve">оперативный контроль исполнения бюджета и подготовка информации о ходе исполнения бюджета городского округа Серпухов Московской области: мониторинг исполнения бюджета за </w:t>
      </w:r>
      <w:r w:rsidR="00445518">
        <w:t>6</w:t>
      </w:r>
      <w:r w:rsidR="005F044B" w:rsidRPr="005F044B">
        <w:t xml:space="preserve"> месяц</w:t>
      </w:r>
      <w:r w:rsidR="00445518">
        <w:t>ев</w:t>
      </w:r>
      <w:r w:rsidR="005F044B" w:rsidRPr="005F044B">
        <w:t xml:space="preserve"> 20</w:t>
      </w:r>
      <w:r w:rsidR="009548D4">
        <w:t xml:space="preserve">20 </w:t>
      </w:r>
      <w:bookmarkStart w:id="1" w:name="_GoBack"/>
      <w:bookmarkEnd w:id="1"/>
      <w:r w:rsidR="005F044B" w:rsidRPr="005F044B">
        <w:t>года.</w:t>
      </w:r>
    </w:p>
    <w:p w:rsidR="008A11D0" w:rsidRPr="008A11D0" w:rsidRDefault="008A11D0" w:rsidP="005F044B">
      <w:pPr>
        <w:pStyle w:val="af"/>
        <w:spacing w:line="240" w:lineRule="auto"/>
        <w:ind w:left="0" w:firstLine="708"/>
        <w:rPr>
          <w:b/>
          <w:szCs w:val="28"/>
        </w:rPr>
      </w:pPr>
      <w:r w:rsidRPr="008A11D0">
        <w:rPr>
          <w:b/>
          <w:szCs w:val="28"/>
        </w:rPr>
        <w:t xml:space="preserve">3. Объекты </w:t>
      </w:r>
      <w:r w:rsidR="002B5084">
        <w:rPr>
          <w:b/>
          <w:szCs w:val="28"/>
        </w:rPr>
        <w:t>экспертно-аналитического</w:t>
      </w:r>
      <w:r w:rsidRPr="008A11D0">
        <w:rPr>
          <w:b/>
          <w:szCs w:val="28"/>
        </w:rPr>
        <w:t xml:space="preserve"> мероприятия: </w:t>
      </w:r>
    </w:p>
    <w:p w:rsidR="005F044B" w:rsidRDefault="005F044B" w:rsidP="00A2680A">
      <w:pPr>
        <w:ind w:firstLine="708"/>
        <w:jc w:val="both"/>
        <w:rPr>
          <w:sz w:val="28"/>
          <w:szCs w:val="28"/>
        </w:rPr>
      </w:pPr>
      <w:r w:rsidRPr="005F044B">
        <w:rPr>
          <w:sz w:val="28"/>
          <w:szCs w:val="28"/>
        </w:rPr>
        <w:t xml:space="preserve">Администрация городского округа Серпухов Московской области. </w:t>
      </w:r>
    </w:p>
    <w:p w:rsidR="008A11D0" w:rsidRPr="008A11D0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445518">
        <w:rPr>
          <w:bCs/>
          <w:sz w:val="28"/>
          <w:szCs w:val="20"/>
        </w:rPr>
        <w:t>1-ое полугодие</w:t>
      </w:r>
      <w:r w:rsidR="005F044B">
        <w:rPr>
          <w:bCs/>
          <w:sz w:val="28"/>
          <w:szCs w:val="20"/>
        </w:rPr>
        <w:t xml:space="preserve"> 2020 года.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:rsidR="005F044B" w:rsidRDefault="005F044B" w:rsidP="00A2680A">
      <w:pPr>
        <w:ind w:firstLine="708"/>
        <w:jc w:val="both"/>
        <w:rPr>
          <w:sz w:val="28"/>
          <w:szCs w:val="28"/>
        </w:rPr>
      </w:pPr>
      <w:r w:rsidRPr="005F044B">
        <w:rPr>
          <w:sz w:val="28"/>
          <w:szCs w:val="28"/>
        </w:rPr>
        <w:t>с 30.0</w:t>
      </w:r>
      <w:r w:rsidR="00445518">
        <w:rPr>
          <w:sz w:val="28"/>
          <w:szCs w:val="28"/>
        </w:rPr>
        <w:t>7</w:t>
      </w:r>
      <w:r w:rsidRPr="005F044B">
        <w:rPr>
          <w:sz w:val="28"/>
          <w:szCs w:val="28"/>
        </w:rPr>
        <w:t>.2020г. по 2</w:t>
      </w:r>
      <w:r w:rsidR="00445518">
        <w:rPr>
          <w:sz w:val="28"/>
          <w:szCs w:val="28"/>
        </w:rPr>
        <w:t>8</w:t>
      </w:r>
      <w:r w:rsidRPr="005F044B">
        <w:rPr>
          <w:sz w:val="28"/>
          <w:szCs w:val="28"/>
        </w:rPr>
        <w:t>.0</w:t>
      </w:r>
      <w:r w:rsidR="00445518">
        <w:rPr>
          <w:sz w:val="28"/>
          <w:szCs w:val="28"/>
        </w:rPr>
        <w:t>8</w:t>
      </w:r>
      <w:r w:rsidRPr="005F044B">
        <w:rPr>
          <w:sz w:val="28"/>
          <w:szCs w:val="28"/>
        </w:rPr>
        <w:t>.2020г.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C71E48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:rsidR="00445518" w:rsidRPr="00534199" w:rsidRDefault="00445518" w:rsidP="00445518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Отчет</w:t>
      </w:r>
      <w:r w:rsidRPr="00534199">
        <w:rPr>
          <w:sz w:val="28"/>
          <w:szCs w:val="28"/>
        </w:rPr>
        <w:t xml:space="preserve"> об исполнении бюджета городского округа  Серпухов за </w:t>
      </w:r>
      <w:r>
        <w:rPr>
          <w:sz w:val="28"/>
          <w:szCs w:val="28"/>
        </w:rPr>
        <w:t xml:space="preserve">              </w:t>
      </w:r>
      <w:r w:rsidRPr="0053419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полугодие </w:t>
      </w:r>
      <w:r w:rsidRPr="0053419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34199">
        <w:rPr>
          <w:sz w:val="28"/>
          <w:szCs w:val="28"/>
        </w:rPr>
        <w:t xml:space="preserve"> года представлен в Контрольно-счетную палату городского округа Серпухов Московской области в установленные </w:t>
      </w:r>
      <w:r>
        <w:rPr>
          <w:sz w:val="28"/>
          <w:szCs w:val="28"/>
        </w:rPr>
        <w:t xml:space="preserve">законодательством </w:t>
      </w:r>
      <w:r w:rsidRPr="00534199">
        <w:rPr>
          <w:sz w:val="28"/>
          <w:szCs w:val="28"/>
        </w:rPr>
        <w:t>сроки, соответствует нормам бюджетного законодательства и отражает соблюдение основных принципов бюджетной системы Р</w:t>
      </w:r>
      <w:r>
        <w:rPr>
          <w:sz w:val="28"/>
          <w:szCs w:val="28"/>
        </w:rPr>
        <w:t xml:space="preserve">оссийской </w:t>
      </w:r>
      <w:r w:rsidRPr="0053419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34199">
        <w:rPr>
          <w:sz w:val="28"/>
          <w:szCs w:val="28"/>
        </w:rPr>
        <w:t>.</w:t>
      </w:r>
    </w:p>
    <w:p w:rsidR="00445518" w:rsidRDefault="00445518" w:rsidP="004455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534199">
        <w:rPr>
          <w:sz w:val="28"/>
          <w:szCs w:val="28"/>
        </w:rPr>
        <w:t xml:space="preserve">Фактически за </w:t>
      </w:r>
      <w:r>
        <w:rPr>
          <w:sz w:val="28"/>
          <w:szCs w:val="28"/>
        </w:rPr>
        <w:t>6 месяцев</w:t>
      </w:r>
      <w:r w:rsidRPr="0053419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34199">
        <w:rPr>
          <w:sz w:val="28"/>
          <w:szCs w:val="28"/>
        </w:rPr>
        <w:t xml:space="preserve"> года доходы бюджета</w:t>
      </w:r>
      <w:r>
        <w:rPr>
          <w:sz w:val="28"/>
          <w:szCs w:val="28"/>
        </w:rPr>
        <w:t xml:space="preserve"> городского округа Серпухов </w:t>
      </w:r>
      <w:r w:rsidRPr="00534199">
        <w:rPr>
          <w:sz w:val="28"/>
          <w:szCs w:val="28"/>
        </w:rPr>
        <w:t xml:space="preserve">составили </w:t>
      </w:r>
      <w:r w:rsidRPr="007E59A7">
        <w:rPr>
          <w:sz w:val="28"/>
          <w:szCs w:val="28"/>
        </w:rPr>
        <w:t xml:space="preserve">3 562 924,3 </w:t>
      </w:r>
      <w:r w:rsidRPr="00534199">
        <w:rPr>
          <w:sz w:val="28"/>
          <w:szCs w:val="28"/>
        </w:rPr>
        <w:t xml:space="preserve">тыс. рублей; расходы - </w:t>
      </w:r>
      <w:r w:rsidRPr="007E59A7">
        <w:rPr>
          <w:sz w:val="28"/>
          <w:szCs w:val="28"/>
        </w:rPr>
        <w:t xml:space="preserve">3 476 877,3 </w:t>
      </w:r>
      <w:r w:rsidRPr="0053419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из них: </w:t>
      </w:r>
    </w:p>
    <w:p w:rsidR="00445518" w:rsidRDefault="00445518" w:rsidP="004455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6005">
        <w:rPr>
          <w:i/>
          <w:sz w:val="28"/>
          <w:szCs w:val="28"/>
        </w:rPr>
        <w:lastRenderedPageBreak/>
        <w:t>налоговые поступления</w:t>
      </w:r>
      <w:r>
        <w:rPr>
          <w:sz w:val="28"/>
          <w:szCs w:val="28"/>
        </w:rPr>
        <w:t xml:space="preserve"> в сумме</w:t>
      </w:r>
      <w:r w:rsidRPr="00BA6EF4">
        <w:rPr>
          <w:sz w:val="28"/>
          <w:szCs w:val="28"/>
        </w:rPr>
        <w:t xml:space="preserve"> 1 225 7</w:t>
      </w:r>
      <w:r>
        <w:rPr>
          <w:sz w:val="28"/>
          <w:szCs w:val="28"/>
        </w:rPr>
        <w:t>0</w:t>
      </w:r>
      <w:r w:rsidRPr="00BA6EF4">
        <w:rPr>
          <w:sz w:val="28"/>
          <w:szCs w:val="28"/>
        </w:rPr>
        <w:t>7,2</w:t>
      </w:r>
      <w:r>
        <w:rPr>
          <w:sz w:val="28"/>
          <w:szCs w:val="28"/>
        </w:rPr>
        <w:t xml:space="preserve"> тыс. рублей, о</w:t>
      </w:r>
      <w:r w:rsidRPr="00860122">
        <w:rPr>
          <w:sz w:val="28"/>
          <w:szCs w:val="28"/>
        </w:rPr>
        <w:t xml:space="preserve">сновным источником </w:t>
      </w:r>
      <w:r>
        <w:rPr>
          <w:sz w:val="28"/>
          <w:szCs w:val="28"/>
        </w:rPr>
        <w:t xml:space="preserve">которых </w:t>
      </w:r>
      <w:r w:rsidRPr="00860122">
        <w:rPr>
          <w:sz w:val="28"/>
          <w:szCs w:val="28"/>
        </w:rPr>
        <w:t xml:space="preserve">в бюджете городского округа Серпухов </w:t>
      </w:r>
      <w:r>
        <w:rPr>
          <w:sz w:val="28"/>
          <w:szCs w:val="28"/>
        </w:rPr>
        <w:t xml:space="preserve">является </w:t>
      </w:r>
      <w:r w:rsidRPr="00BA6EF4">
        <w:rPr>
          <w:sz w:val="28"/>
          <w:szCs w:val="28"/>
        </w:rPr>
        <w:t xml:space="preserve">налог на доходы физических лиц и составляет 903 972,3 тыс. рублей или </w:t>
      </w:r>
      <w:r>
        <w:rPr>
          <w:sz w:val="28"/>
          <w:szCs w:val="28"/>
        </w:rPr>
        <w:t>73</w:t>
      </w:r>
      <w:r w:rsidRPr="00BA6EF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A6EF4">
        <w:rPr>
          <w:sz w:val="28"/>
          <w:szCs w:val="28"/>
        </w:rPr>
        <w:t>% от суммы налоговых доходов</w:t>
      </w:r>
      <w:r>
        <w:rPr>
          <w:sz w:val="28"/>
          <w:szCs w:val="28"/>
        </w:rPr>
        <w:t>;</w:t>
      </w:r>
      <w:r w:rsidRPr="00BA6EF4">
        <w:rPr>
          <w:sz w:val="28"/>
          <w:szCs w:val="28"/>
        </w:rPr>
        <w:t xml:space="preserve"> </w:t>
      </w:r>
    </w:p>
    <w:p w:rsidR="00445518" w:rsidRDefault="00445518" w:rsidP="004455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6005">
        <w:rPr>
          <w:i/>
          <w:sz w:val="28"/>
          <w:szCs w:val="28"/>
        </w:rPr>
        <w:t>неналоговые поступления</w:t>
      </w:r>
      <w:r>
        <w:rPr>
          <w:sz w:val="28"/>
          <w:szCs w:val="28"/>
        </w:rPr>
        <w:t xml:space="preserve"> в сумме </w:t>
      </w:r>
      <w:r w:rsidRPr="00916005">
        <w:rPr>
          <w:sz w:val="28"/>
          <w:szCs w:val="28"/>
        </w:rPr>
        <w:t>195 706,5</w:t>
      </w:r>
      <w:r>
        <w:rPr>
          <w:sz w:val="28"/>
          <w:szCs w:val="28"/>
        </w:rPr>
        <w:t xml:space="preserve"> тыс. рублей, в</w:t>
      </w:r>
      <w:r w:rsidRPr="00BA6EF4">
        <w:rPr>
          <w:sz w:val="28"/>
          <w:szCs w:val="28"/>
        </w:rPr>
        <w:t xml:space="preserve"> структуре</w:t>
      </w:r>
      <w:r>
        <w:rPr>
          <w:sz w:val="28"/>
          <w:szCs w:val="28"/>
        </w:rPr>
        <w:t xml:space="preserve"> которых п</w:t>
      </w:r>
      <w:r w:rsidRPr="00BA6EF4">
        <w:rPr>
          <w:sz w:val="28"/>
          <w:szCs w:val="28"/>
        </w:rPr>
        <w:t xml:space="preserve">ервое место занимают </w:t>
      </w:r>
      <w:r>
        <w:rPr>
          <w:sz w:val="28"/>
          <w:szCs w:val="28"/>
        </w:rPr>
        <w:t xml:space="preserve">доходы от использования муниципального имущества </w:t>
      </w:r>
      <w:r w:rsidRPr="00BA6EF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83 707,0 </w:t>
      </w:r>
      <w:r w:rsidRPr="00BA6EF4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36</w:t>
      </w:r>
      <w:r w:rsidRPr="00BA6EF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A6EF4">
        <w:rPr>
          <w:sz w:val="28"/>
          <w:szCs w:val="28"/>
        </w:rPr>
        <w:t>%</w:t>
      </w:r>
      <w:r>
        <w:rPr>
          <w:sz w:val="28"/>
          <w:szCs w:val="28"/>
        </w:rPr>
        <w:t xml:space="preserve"> и доходы от оказания платных услуг в размере 71 725,1 тыс. рублей или 36,6%.</w:t>
      </w:r>
      <w:r w:rsidRPr="00BA6EF4">
        <w:rPr>
          <w:sz w:val="28"/>
          <w:szCs w:val="28"/>
        </w:rPr>
        <w:t xml:space="preserve"> </w:t>
      </w:r>
    </w:p>
    <w:p w:rsidR="00445518" w:rsidRDefault="00445518" w:rsidP="004455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6EF4">
        <w:rPr>
          <w:sz w:val="28"/>
          <w:szCs w:val="28"/>
        </w:rPr>
        <w:t xml:space="preserve">В структуру доходов за </w:t>
      </w:r>
      <w:r>
        <w:rPr>
          <w:sz w:val="28"/>
          <w:szCs w:val="28"/>
        </w:rPr>
        <w:t xml:space="preserve">6 месяцев 2020 года, также как и за 3 месяца </w:t>
      </w:r>
      <w:r w:rsidRPr="00BA6EF4">
        <w:rPr>
          <w:sz w:val="28"/>
          <w:szCs w:val="28"/>
        </w:rPr>
        <w:t>2020 года вошли доходы от штрафов, санкций, возмещения ущерба в размере 4 439,3 тыс. рублей, не запланированные при утверждении бюджета на 2020 год.</w:t>
      </w:r>
    </w:p>
    <w:p w:rsidR="00445518" w:rsidRPr="00AE67E2" w:rsidRDefault="00445518" w:rsidP="00445518">
      <w:pPr>
        <w:ind w:firstLine="709"/>
        <w:jc w:val="both"/>
        <w:rPr>
          <w:sz w:val="28"/>
          <w:szCs w:val="28"/>
        </w:rPr>
      </w:pPr>
      <w:r w:rsidRPr="00CB63DA">
        <w:rPr>
          <w:sz w:val="28"/>
          <w:szCs w:val="28"/>
        </w:rPr>
        <w:t xml:space="preserve">Исполнение </w:t>
      </w:r>
      <w:proofErr w:type="gramStart"/>
      <w:r w:rsidRPr="00CB63DA">
        <w:rPr>
          <w:sz w:val="28"/>
          <w:szCs w:val="28"/>
        </w:rPr>
        <w:t xml:space="preserve">в целом по муниципальным программам в соответствии с данными </w:t>
      </w:r>
      <w:r>
        <w:rPr>
          <w:sz w:val="28"/>
          <w:szCs w:val="28"/>
        </w:rPr>
        <w:t>Отчет</w:t>
      </w:r>
      <w:r w:rsidRPr="00CB63DA">
        <w:rPr>
          <w:sz w:val="28"/>
          <w:szCs w:val="28"/>
        </w:rPr>
        <w:t>а об исполнении</w:t>
      </w:r>
      <w:proofErr w:type="gramEnd"/>
      <w:r w:rsidRPr="00CB63DA">
        <w:rPr>
          <w:sz w:val="28"/>
          <w:szCs w:val="28"/>
        </w:rPr>
        <w:t xml:space="preserve"> бюджета за </w:t>
      </w:r>
      <w:r>
        <w:rPr>
          <w:sz w:val="28"/>
          <w:szCs w:val="28"/>
        </w:rPr>
        <w:t xml:space="preserve">6 месяцев </w:t>
      </w:r>
      <w:r w:rsidRPr="00CB63D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B63D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B63DA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3</w:t>
      </w:r>
      <w:r w:rsidRPr="00FD3EBA">
        <w:rPr>
          <w:sz w:val="28"/>
          <w:szCs w:val="28"/>
        </w:rPr>
        <w:t>8,4%</w:t>
      </w:r>
      <w:r w:rsidRPr="00CB63DA">
        <w:rPr>
          <w:sz w:val="28"/>
          <w:szCs w:val="28"/>
        </w:rPr>
        <w:t xml:space="preserve"> к годовому плану.</w:t>
      </w:r>
    </w:p>
    <w:p w:rsidR="00445518" w:rsidRDefault="00445518" w:rsidP="0044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за 6 месяцев 2</w:t>
      </w:r>
      <w:r w:rsidRPr="0048446C">
        <w:rPr>
          <w:sz w:val="28"/>
          <w:szCs w:val="28"/>
        </w:rPr>
        <w:t xml:space="preserve">020 года получено безвозмездных поступлений </w:t>
      </w:r>
      <w:r>
        <w:rPr>
          <w:sz w:val="28"/>
          <w:szCs w:val="28"/>
        </w:rPr>
        <w:t xml:space="preserve">в размере </w:t>
      </w:r>
      <w:r w:rsidRPr="00803779">
        <w:rPr>
          <w:sz w:val="28"/>
          <w:szCs w:val="28"/>
        </w:rPr>
        <w:t xml:space="preserve">2 141 510,6 тыс. рублей, из них: дотации – 2 151,0 тыс. рублей; субсидии – 715 946,2 тыс. рублей; субвенции – 1 443 267,1 тыс. рублей; прочие безвозмездные поступления уменьшены на 66,8 тыс. рублей. </w:t>
      </w:r>
      <w:r w:rsidRPr="001F7030">
        <w:rPr>
          <w:sz w:val="28"/>
          <w:szCs w:val="28"/>
        </w:rPr>
        <w:t>Размер иных межбюджетных трансферов составил 38 707,8 тыс. рублей, размер безвозмездных поступлений от негосударственных органов – 1 000,0 тыс. рублей.</w:t>
      </w:r>
    </w:p>
    <w:p w:rsidR="00445518" w:rsidRDefault="00445518" w:rsidP="0044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E67E2">
        <w:rPr>
          <w:sz w:val="28"/>
          <w:szCs w:val="28"/>
        </w:rPr>
        <w:t>На 01.0</w:t>
      </w:r>
      <w:r>
        <w:rPr>
          <w:sz w:val="28"/>
          <w:szCs w:val="28"/>
        </w:rPr>
        <w:t>7</w:t>
      </w:r>
      <w:r w:rsidRPr="00AE67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E67E2">
        <w:rPr>
          <w:sz w:val="28"/>
          <w:szCs w:val="28"/>
        </w:rPr>
        <w:t xml:space="preserve"> года муниципальный долг составил </w:t>
      </w:r>
      <w:r>
        <w:rPr>
          <w:sz w:val="28"/>
          <w:szCs w:val="28"/>
        </w:rPr>
        <w:t xml:space="preserve">560 000,0 </w:t>
      </w:r>
      <w:r w:rsidRPr="00AE67E2">
        <w:rPr>
          <w:sz w:val="28"/>
          <w:szCs w:val="28"/>
        </w:rPr>
        <w:t>тыс. рублей. Объем муниципального долга городского округа Серпухов по состоянию на 01.0</w:t>
      </w:r>
      <w:r>
        <w:rPr>
          <w:sz w:val="28"/>
          <w:szCs w:val="28"/>
        </w:rPr>
        <w:t>7</w:t>
      </w:r>
      <w:r w:rsidRPr="00AE67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E67E2">
        <w:rPr>
          <w:sz w:val="28"/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</w:t>
      </w:r>
      <w:r>
        <w:rPr>
          <w:sz w:val="28"/>
          <w:szCs w:val="28"/>
        </w:rPr>
        <w:t xml:space="preserve">                  </w:t>
      </w:r>
      <w:r w:rsidRPr="00AE67E2">
        <w:rPr>
          <w:sz w:val="28"/>
          <w:szCs w:val="28"/>
        </w:rPr>
        <w:t>107 Бюджетного кодекса Российской Федерации.</w:t>
      </w:r>
    </w:p>
    <w:p w:rsidR="00445518" w:rsidRDefault="00445518" w:rsidP="0044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C04B6D">
        <w:rPr>
          <w:sz w:val="28"/>
          <w:szCs w:val="28"/>
        </w:rPr>
        <w:t xml:space="preserve">. Нарушения порядка исполнения бюджета городского округа Серпухов за </w:t>
      </w:r>
      <w:r>
        <w:rPr>
          <w:sz w:val="28"/>
          <w:szCs w:val="28"/>
        </w:rPr>
        <w:t xml:space="preserve">6 месяцев </w:t>
      </w:r>
      <w:r w:rsidRPr="00C04B6D">
        <w:rPr>
          <w:sz w:val="28"/>
          <w:szCs w:val="28"/>
        </w:rPr>
        <w:t>2020 года не выявлены.</w:t>
      </w:r>
    </w:p>
    <w:p w:rsidR="00445518" w:rsidRPr="00AB3C4D" w:rsidRDefault="00445518" w:rsidP="00445518">
      <w:pPr>
        <w:ind w:firstLine="709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7</w:t>
      </w:r>
      <w:r w:rsidRPr="00AB3C4D">
        <w:rPr>
          <w:b/>
          <w:bCs/>
          <w:sz w:val="28"/>
          <w:szCs w:val="20"/>
        </w:rPr>
        <w:t>. Предложения (рекомендации):</w:t>
      </w:r>
    </w:p>
    <w:p w:rsidR="00445518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0"/>
        </w:rPr>
        <w:t>7.1.</w:t>
      </w:r>
      <w:r>
        <w:rPr>
          <w:bCs/>
          <w:sz w:val="28"/>
          <w:szCs w:val="28"/>
        </w:rPr>
        <w:t>Продолжить работу по мобилизации доходов в бюджет городского округа Серпухов.</w:t>
      </w:r>
    </w:p>
    <w:p w:rsidR="00445518" w:rsidRPr="009C541C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C541C">
        <w:rPr>
          <w:bCs/>
          <w:sz w:val="28"/>
          <w:szCs w:val="28"/>
        </w:rPr>
        <w:t>.2. Главным администраторам средств бюджета:</w:t>
      </w:r>
    </w:p>
    <w:p w:rsidR="00445518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7.2.1. Принять меры по повышению качества планирования налоговых и неналоговых доходов;</w:t>
      </w:r>
    </w:p>
    <w:p w:rsidR="00445518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7.2.2. В целях соблюдения статьи 34 Бюджетного кодекса Российской Федерации своевременно проводить мониторинг исполнения расходных обязательств, координировать деятельность подведомственных учреждений в целях целевого и эффективного использования бюджетных средств.</w:t>
      </w:r>
    </w:p>
    <w:p w:rsidR="00445518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7.2.3. Не допускать образование дебиторской и кредиторской задолженности, финансируемой за счет бюджета.</w:t>
      </w:r>
    </w:p>
    <w:p w:rsidR="00445518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7.2.4. Осуществлять ежемесячный мониторинг результатов освоения бюджетных средств по муниципальным программам в текущем финансовом году.</w:t>
      </w:r>
    </w:p>
    <w:p w:rsidR="00445518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7.2.5. В целях повышения эффективности и результативности использования бюджетных средств, ввести персональную ответственность главных распорядителей (муниципальных заказчиков) по итогам реализации программных и подпрограммных мероприятий в текущем финансовом году.</w:t>
      </w:r>
    </w:p>
    <w:p w:rsidR="00445518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7.2.6. Привести объемы финансирования на 2020 год муниципальных программ с показателями бюджета.</w:t>
      </w:r>
    </w:p>
    <w:p w:rsidR="00445518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7.2.7. Повышать качество администрирования доходов:</w:t>
      </w:r>
    </w:p>
    <w:p w:rsidR="00445518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своевременно проводить уточнение невыясненных платежей;</w:t>
      </w:r>
    </w:p>
    <w:p w:rsidR="00445518" w:rsidRPr="00445518" w:rsidRDefault="00445518" w:rsidP="0044551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проводить претензионную работу с должниками по поступлениям в бюджет.</w:t>
      </w:r>
    </w:p>
    <w:p w:rsidR="00445518" w:rsidRPr="00445518" w:rsidRDefault="00521222" w:rsidP="002B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518" w:rsidRPr="00445518">
        <w:rPr>
          <w:sz w:val="28"/>
          <w:szCs w:val="28"/>
        </w:rPr>
        <w:t>В ходе экспертно-аналитического мероприятия объекту проверки было вынесено 3 предписания</w:t>
      </w:r>
      <w:r w:rsidR="00445518">
        <w:rPr>
          <w:sz w:val="28"/>
          <w:szCs w:val="28"/>
        </w:rPr>
        <w:t>.</w:t>
      </w:r>
    </w:p>
    <w:p w:rsidR="00DA0162" w:rsidRPr="00443051" w:rsidRDefault="002B5084" w:rsidP="00445518">
      <w:pPr>
        <w:ind w:firstLine="708"/>
        <w:jc w:val="both"/>
        <w:rPr>
          <w:sz w:val="28"/>
          <w:szCs w:val="28"/>
        </w:rPr>
      </w:pPr>
      <w:r w:rsidRPr="00445518">
        <w:rPr>
          <w:sz w:val="28"/>
          <w:szCs w:val="28"/>
        </w:rPr>
        <w:t>П</w:t>
      </w:r>
      <w:r w:rsidR="00DA0162" w:rsidRPr="00445518">
        <w:rPr>
          <w:sz w:val="28"/>
          <w:szCs w:val="28"/>
        </w:rPr>
        <w:t xml:space="preserve">о результатам </w:t>
      </w:r>
      <w:r w:rsidRPr="00445518">
        <w:rPr>
          <w:sz w:val="28"/>
          <w:szCs w:val="28"/>
        </w:rPr>
        <w:t>экспертно-аналитического</w:t>
      </w:r>
      <w:r w:rsidR="00DA0162" w:rsidRPr="00445518">
        <w:rPr>
          <w:sz w:val="28"/>
          <w:szCs w:val="28"/>
        </w:rPr>
        <w:t xml:space="preserve"> мероприятия</w:t>
      </w:r>
      <w:r w:rsidR="00445518">
        <w:rPr>
          <w:sz w:val="28"/>
          <w:szCs w:val="28"/>
        </w:rPr>
        <w:t xml:space="preserve"> объекту проверки </w:t>
      </w:r>
      <w:r w:rsidR="00DA0162" w:rsidRPr="00445518">
        <w:rPr>
          <w:sz w:val="28"/>
          <w:szCs w:val="28"/>
        </w:rPr>
        <w:t xml:space="preserve">были направлены информационные письма в Совет депутатов городского округа Серпухов и Главе городского округа Серпухов, а также </w:t>
      </w:r>
      <w:r w:rsidRPr="00445518">
        <w:rPr>
          <w:sz w:val="28"/>
          <w:szCs w:val="28"/>
        </w:rPr>
        <w:t>Заключение о</w:t>
      </w:r>
      <w:r w:rsidR="00DA0162" w:rsidRPr="00445518">
        <w:rPr>
          <w:sz w:val="28"/>
          <w:szCs w:val="28"/>
        </w:rPr>
        <w:t xml:space="preserve"> результатах </w:t>
      </w:r>
      <w:r w:rsidRPr="00445518">
        <w:rPr>
          <w:sz w:val="28"/>
          <w:szCs w:val="28"/>
        </w:rPr>
        <w:t>экспертно-аналитического</w:t>
      </w:r>
      <w:r w:rsidR="00DA0162" w:rsidRPr="00445518">
        <w:rPr>
          <w:sz w:val="28"/>
          <w:szCs w:val="28"/>
        </w:rPr>
        <w:t xml:space="preserve"> мероприятия для сведения был</w:t>
      </w:r>
      <w:r w:rsidRPr="00445518">
        <w:rPr>
          <w:sz w:val="28"/>
          <w:szCs w:val="28"/>
        </w:rPr>
        <w:t>о</w:t>
      </w:r>
      <w:r w:rsidR="00DA0162" w:rsidRPr="00445518">
        <w:rPr>
          <w:sz w:val="28"/>
          <w:szCs w:val="28"/>
        </w:rPr>
        <w:t xml:space="preserve"> направлен</w:t>
      </w:r>
      <w:r w:rsidRPr="00445518">
        <w:rPr>
          <w:sz w:val="28"/>
          <w:szCs w:val="28"/>
        </w:rPr>
        <w:t>о</w:t>
      </w:r>
      <w:r w:rsidR="00DA0162" w:rsidRPr="00445518">
        <w:rPr>
          <w:sz w:val="28"/>
          <w:szCs w:val="28"/>
        </w:rPr>
        <w:t xml:space="preserve"> в Прокуратуру </w:t>
      </w:r>
      <w:r w:rsidR="00521222" w:rsidRPr="00445518"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A0162" w:rsidRPr="008A11D0" w:rsidSect="007E5E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66" w:rsidRDefault="005B2466" w:rsidP="002B5084">
      <w:r>
        <w:separator/>
      </w:r>
    </w:p>
  </w:endnote>
  <w:endnote w:type="continuationSeparator" w:id="0">
    <w:p w:rsidR="005B2466" w:rsidRDefault="005B2466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66" w:rsidRDefault="005B2466" w:rsidP="002B5084">
      <w:r>
        <w:separator/>
      </w:r>
    </w:p>
  </w:footnote>
  <w:footnote w:type="continuationSeparator" w:id="0">
    <w:p w:rsidR="005B2466" w:rsidRDefault="005B2466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3261"/>
      <w:docPartObj>
        <w:docPartGallery w:val="Page Numbers (Top of Page)"/>
        <w:docPartUnique/>
      </w:docPartObj>
    </w:sdtPr>
    <w:sdtEndPr/>
    <w:sdtContent>
      <w:p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8D4">
          <w:rPr>
            <w:noProof/>
          </w:rPr>
          <w:t>3</w:t>
        </w:r>
        <w:r>
          <w:fldChar w:fldCharType="end"/>
        </w:r>
      </w:p>
    </w:sdtContent>
  </w:sdt>
  <w:p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1E0AA3"/>
    <w:rsid w:val="00260CA1"/>
    <w:rsid w:val="00261FF8"/>
    <w:rsid w:val="002646AD"/>
    <w:rsid w:val="00296DBD"/>
    <w:rsid w:val="002A19F2"/>
    <w:rsid w:val="002B5084"/>
    <w:rsid w:val="002D2AF6"/>
    <w:rsid w:val="002D4A53"/>
    <w:rsid w:val="002E27DA"/>
    <w:rsid w:val="003145EC"/>
    <w:rsid w:val="00330393"/>
    <w:rsid w:val="00341B70"/>
    <w:rsid w:val="003752D5"/>
    <w:rsid w:val="003921A5"/>
    <w:rsid w:val="003C4174"/>
    <w:rsid w:val="003E4809"/>
    <w:rsid w:val="003F7439"/>
    <w:rsid w:val="004207FF"/>
    <w:rsid w:val="00422617"/>
    <w:rsid w:val="00445518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17F4B"/>
    <w:rsid w:val="00521222"/>
    <w:rsid w:val="005278DB"/>
    <w:rsid w:val="00540947"/>
    <w:rsid w:val="00587564"/>
    <w:rsid w:val="00591E79"/>
    <w:rsid w:val="00594284"/>
    <w:rsid w:val="005950CB"/>
    <w:rsid w:val="005B0A26"/>
    <w:rsid w:val="005B2466"/>
    <w:rsid w:val="005E19DD"/>
    <w:rsid w:val="005E4B48"/>
    <w:rsid w:val="005F044B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A3236"/>
    <w:rsid w:val="007B6BA1"/>
    <w:rsid w:val="007C6DC1"/>
    <w:rsid w:val="007E5EF5"/>
    <w:rsid w:val="008A11D0"/>
    <w:rsid w:val="008B6B59"/>
    <w:rsid w:val="008C0154"/>
    <w:rsid w:val="008E3467"/>
    <w:rsid w:val="008F1039"/>
    <w:rsid w:val="00916EF6"/>
    <w:rsid w:val="00932B1D"/>
    <w:rsid w:val="009548D4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97A8D"/>
    <w:rsid w:val="00BE031C"/>
    <w:rsid w:val="00BF5C43"/>
    <w:rsid w:val="00C71E48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6F73"/>
    <w:rsid w:val="00DB5707"/>
    <w:rsid w:val="00DB61D9"/>
    <w:rsid w:val="00E433F6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517F4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517F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serpuho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CEB8-7258-438B-A231-D6C83D8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35</cp:revision>
  <cp:lastPrinted>2020-08-26T06:30:00Z</cp:lastPrinted>
  <dcterms:created xsi:type="dcterms:W3CDTF">2018-12-26T13:29:00Z</dcterms:created>
  <dcterms:modified xsi:type="dcterms:W3CDTF">2021-03-10T12:35:00Z</dcterms:modified>
</cp:coreProperties>
</file>