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EDB8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04294C3D" wp14:editId="3F5E6B6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5DAB4ABC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16FB884F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4AA8F7B8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4F343073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033871E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3D34D7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C5061B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2C28BD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C7AA9F0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8D6544E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16CDEF9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8B2B77E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B36501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3E638EEA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0F5EF9F9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49A8799B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5F4E1955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522EAC8B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639E2217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448EC524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342DC86D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5B6EC8F9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420EE52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0C6E79A8" w14:textId="77777777" w:rsidR="008A11D0" w:rsidRDefault="008A11D0" w:rsidP="002B5084">
      <w:pPr>
        <w:rPr>
          <w:sz w:val="28"/>
          <w:szCs w:val="28"/>
        </w:rPr>
      </w:pPr>
    </w:p>
    <w:p w14:paraId="053DE2EC" w14:textId="77777777" w:rsidR="009A530C" w:rsidRPr="00CE58FC" w:rsidRDefault="008A11D0" w:rsidP="00A2680A">
      <w:pPr>
        <w:jc w:val="center"/>
        <w:rPr>
          <w:b/>
          <w:sz w:val="28"/>
          <w:szCs w:val="28"/>
        </w:rPr>
      </w:pPr>
      <w:r w:rsidRPr="00CE58FC">
        <w:rPr>
          <w:b/>
          <w:sz w:val="28"/>
          <w:szCs w:val="28"/>
        </w:rPr>
        <w:t xml:space="preserve">Информация об итогах проведенного </w:t>
      </w:r>
      <w:r w:rsidR="00003484" w:rsidRPr="00CE58FC">
        <w:rPr>
          <w:b/>
          <w:sz w:val="28"/>
          <w:szCs w:val="28"/>
        </w:rPr>
        <w:t>контрольного</w:t>
      </w:r>
      <w:r w:rsidRPr="00CE58FC">
        <w:rPr>
          <w:b/>
          <w:sz w:val="28"/>
          <w:szCs w:val="28"/>
        </w:rPr>
        <w:t xml:space="preserve"> мероприятия</w:t>
      </w:r>
      <w:r w:rsidR="002B5084" w:rsidRPr="00CE58FC">
        <w:rPr>
          <w:b/>
          <w:sz w:val="28"/>
          <w:szCs w:val="28"/>
        </w:rPr>
        <w:t xml:space="preserve"> </w:t>
      </w:r>
    </w:p>
    <w:p w14:paraId="323736C0" w14:textId="35B1223F" w:rsidR="00342B32" w:rsidRPr="00342B32" w:rsidRDefault="00342B32" w:rsidP="0090529A">
      <w:pPr>
        <w:ind w:firstLine="709"/>
        <w:jc w:val="center"/>
        <w:rPr>
          <w:b/>
          <w:sz w:val="28"/>
          <w:szCs w:val="28"/>
        </w:rPr>
      </w:pPr>
      <w:r w:rsidRPr="00342B32">
        <w:rPr>
          <w:b/>
          <w:sz w:val="28"/>
          <w:szCs w:val="20"/>
        </w:rPr>
        <w:t>«</w:t>
      </w:r>
      <w:r w:rsidRPr="00342B32">
        <w:rPr>
          <w:b/>
          <w:sz w:val="28"/>
          <w:szCs w:val="28"/>
        </w:rPr>
        <w:t>Внешняя проверка бюджетной отчетности главных администраторов бюджетных средств городского округа Серпухов Московской области</w:t>
      </w:r>
      <w:r w:rsidR="000941BC">
        <w:rPr>
          <w:b/>
          <w:sz w:val="28"/>
          <w:szCs w:val="28"/>
        </w:rPr>
        <w:t xml:space="preserve"> за 2022 год</w:t>
      </w:r>
      <w:r w:rsidRPr="00342B32">
        <w:rPr>
          <w:b/>
          <w:sz w:val="28"/>
          <w:szCs w:val="28"/>
        </w:rPr>
        <w:t xml:space="preserve">: Управления архитектуры и строительства Администрации </w:t>
      </w:r>
      <w:r w:rsidR="000941BC" w:rsidRPr="00342B32">
        <w:rPr>
          <w:b/>
          <w:sz w:val="28"/>
          <w:szCs w:val="28"/>
        </w:rPr>
        <w:t xml:space="preserve">городского </w:t>
      </w:r>
      <w:r w:rsidR="000941BC">
        <w:rPr>
          <w:b/>
          <w:sz w:val="28"/>
          <w:szCs w:val="28"/>
        </w:rPr>
        <w:t>округа</w:t>
      </w:r>
      <w:r w:rsidRPr="00342B32">
        <w:rPr>
          <w:b/>
          <w:sz w:val="28"/>
          <w:szCs w:val="28"/>
        </w:rPr>
        <w:t xml:space="preserve"> Серпухов»</w:t>
      </w:r>
    </w:p>
    <w:p w14:paraId="0B3C3460" w14:textId="77777777" w:rsidR="00CE58FC" w:rsidRDefault="00CE58FC" w:rsidP="00A2680A">
      <w:pPr>
        <w:jc w:val="center"/>
        <w:rPr>
          <w:b/>
          <w:sz w:val="28"/>
          <w:szCs w:val="28"/>
        </w:rPr>
      </w:pPr>
    </w:p>
    <w:p w14:paraId="317E3D74" w14:textId="77777777" w:rsidR="000941BC" w:rsidRDefault="008A11D0" w:rsidP="000941BC">
      <w:pPr>
        <w:ind w:firstLine="709"/>
        <w:jc w:val="both"/>
        <w:rPr>
          <w:sz w:val="28"/>
          <w:szCs w:val="28"/>
        </w:rPr>
      </w:pPr>
      <w:r w:rsidRPr="008E3AF8">
        <w:rPr>
          <w:b/>
          <w:sz w:val="28"/>
          <w:szCs w:val="28"/>
        </w:rPr>
        <w:t xml:space="preserve">1. Основание для проведения </w:t>
      </w:r>
      <w:r w:rsidR="00003484">
        <w:rPr>
          <w:b/>
          <w:sz w:val="28"/>
          <w:szCs w:val="28"/>
        </w:rPr>
        <w:t>контрольного</w:t>
      </w:r>
      <w:r w:rsidRPr="008E3AF8">
        <w:rPr>
          <w:b/>
          <w:sz w:val="28"/>
          <w:szCs w:val="28"/>
        </w:rPr>
        <w:t xml:space="preserve"> мероприятия: </w:t>
      </w:r>
      <w:r w:rsidR="000941BC">
        <w:rPr>
          <w:sz w:val="28"/>
          <w:szCs w:val="28"/>
        </w:rPr>
        <w:t>пункт 2.3.5 раздела 2 Плана работы Контрольно-счетной палаты городского округа Серпухов Московской области на 2023 год, утвержденного приказом Контрольно-счетной палаты городского округа Серпухов Московской области от 20.12.2022г. № 99 (с изменениями).</w:t>
      </w:r>
    </w:p>
    <w:p w14:paraId="757FA4AD" w14:textId="52BF9A21" w:rsidR="000941BC" w:rsidRDefault="000941BC" w:rsidP="000941BC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A11D0" w:rsidRPr="00CE58FC">
        <w:rPr>
          <w:b/>
          <w:sz w:val="28"/>
          <w:szCs w:val="28"/>
        </w:rPr>
        <w:t xml:space="preserve">2. Предмет </w:t>
      </w:r>
      <w:r w:rsidR="00003484" w:rsidRPr="00CE58FC">
        <w:rPr>
          <w:b/>
          <w:sz w:val="28"/>
          <w:szCs w:val="28"/>
        </w:rPr>
        <w:t>контрольного</w:t>
      </w:r>
      <w:r w:rsidR="002B5084" w:rsidRPr="00CE58FC">
        <w:rPr>
          <w:b/>
          <w:sz w:val="28"/>
          <w:szCs w:val="28"/>
        </w:rPr>
        <w:t xml:space="preserve"> </w:t>
      </w:r>
      <w:r w:rsidR="008A11D0" w:rsidRPr="00CE58FC">
        <w:rPr>
          <w:b/>
          <w:sz w:val="28"/>
          <w:szCs w:val="28"/>
        </w:rPr>
        <w:t>мероприятия:</w:t>
      </w:r>
      <w:r w:rsidR="008A11D0" w:rsidRPr="00CE58F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годовой бюджетной отчетности главного администратора бюджетных средств городского округа Серпухов Управления архитектуры и строительства Администрации городского округа Серпухов.</w:t>
      </w:r>
    </w:p>
    <w:p w14:paraId="6042DE9C" w14:textId="3CDD6960" w:rsidR="008A11D0" w:rsidRPr="00E85EB3" w:rsidRDefault="008A11D0" w:rsidP="00E85EB3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3. Объекты </w:t>
      </w:r>
      <w:r w:rsidR="00003484" w:rsidRPr="00E85EB3">
        <w:rPr>
          <w:b/>
          <w:sz w:val="28"/>
          <w:szCs w:val="28"/>
        </w:rPr>
        <w:t>контрольного</w:t>
      </w:r>
      <w:r w:rsidRPr="00E85EB3">
        <w:rPr>
          <w:b/>
          <w:sz w:val="28"/>
          <w:szCs w:val="28"/>
        </w:rPr>
        <w:t xml:space="preserve"> мероприятия: </w:t>
      </w:r>
    </w:p>
    <w:p w14:paraId="0062DD98" w14:textId="77777777" w:rsidR="00342B32" w:rsidRPr="00B23628" w:rsidRDefault="00342B32" w:rsidP="00342B32">
      <w:pPr>
        <w:ind w:firstLine="708"/>
        <w:jc w:val="both"/>
        <w:rPr>
          <w:sz w:val="28"/>
          <w:szCs w:val="28"/>
        </w:rPr>
      </w:pPr>
      <w:r w:rsidRPr="001E261A">
        <w:rPr>
          <w:sz w:val="28"/>
          <w:szCs w:val="28"/>
        </w:rPr>
        <w:t>Управление архитектуры и строительства Администрации городского округа Серпухов.</w:t>
      </w:r>
    </w:p>
    <w:p w14:paraId="6BDBB84E" w14:textId="67B661E2" w:rsidR="008A11D0" w:rsidRPr="00E85EB3" w:rsidRDefault="008A11D0" w:rsidP="00B43DD8">
      <w:pPr>
        <w:ind w:firstLine="708"/>
        <w:jc w:val="both"/>
        <w:rPr>
          <w:sz w:val="28"/>
          <w:szCs w:val="28"/>
        </w:rPr>
      </w:pPr>
      <w:r w:rsidRPr="00E85EB3">
        <w:rPr>
          <w:b/>
          <w:sz w:val="28"/>
          <w:szCs w:val="28"/>
        </w:rPr>
        <w:t>4. Проверяемый период деятельности</w:t>
      </w:r>
      <w:r w:rsidRPr="00E85EB3">
        <w:rPr>
          <w:sz w:val="28"/>
          <w:szCs w:val="28"/>
        </w:rPr>
        <w:t xml:space="preserve">: </w:t>
      </w:r>
      <w:r w:rsidR="00E67EF1" w:rsidRPr="00E85EB3">
        <w:rPr>
          <w:sz w:val="28"/>
          <w:szCs w:val="28"/>
        </w:rPr>
        <w:t>202</w:t>
      </w:r>
      <w:r w:rsidR="000941BC">
        <w:rPr>
          <w:sz w:val="28"/>
          <w:szCs w:val="28"/>
        </w:rPr>
        <w:t>2</w:t>
      </w:r>
      <w:r w:rsidR="00E67EF1" w:rsidRPr="00E85EB3">
        <w:rPr>
          <w:sz w:val="28"/>
          <w:szCs w:val="28"/>
        </w:rPr>
        <w:t xml:space="preserve"> год.</w:t>
      </w:r>
    </w:p>
    <w:p w14:paraId="673A68FE" w14:textId="77777777" w:rsidR="00A2680A" w:rsidRPr="00E85EB3" w:rsidRDefault="008A11D0" w:rsidP="00A2680A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5. Срок проведения </w:t>
      </w:r>
      <w:r w:rsidR="00003484" w:rsidRPr="00E85EB3">
        <w:rPr>
          <w:b/>
          <w:sz w:val="28"/>
          <w:szCs w:val="28"/>
        </w:rPr>
        <w:t>контрольног</w:t>
      </w:r>
      <w:r w:rsidR="002B5084" w:rsidRPr="00E85EB3">
        <w:rPr>
          <w:b/>
          <w:sz w:val="28"/>
          <w:szCs w:val="28"/>
        </w:rPr>
        <w:t>о</w:t>
      </w:r>
      <w:r w:rsidRPr="00E85EB3">
        <w:rPr>
          <w:b/>
          <w:sz w:val="28"/>
          <w:szCs w:val="28"/>
        </w:rPr>
        <w:t xml:space="preserve"> мероприятия:</w:t>
      </w:r>
      <w:r w:rsidR="00A2680A" w:rsidRPr="00E85EB3">
        <w:rPr>
          <w:b/>
          <w:sz w:val="28"/>
          <w:szCs w:val="28"/>
        </w:rPr>
        <w:t xml:space="preserve"> </w:t>
      </w:r>
    </w:p>
    <w:p w14:paraId="46DACCA3" w14:textId="30B1B01B" w:rsidR="00C43C82" w:rsidRPr="00E85EB3" w:rsidRDefault="00C43C82" w:rsidP="00C43C82">
      <w:pPr>
        <w:ind w:firstLine="709"/>
        <w:jc w:val="both"/>
        <w:rPr>
          <w:sz w:val="28"/>
          <w:szCs w:val="28"/>
        </w:rPr>
      </w:pPr>
      <w:r w:rsidRPr="00E85EB3">
        <w:rPr>
          <w:sz w:val="28"/>
          <w:szCs w:val="28"/>
        </w:rPr>
        <w:t>с «0</w:t>
      </w:r>
      <w:r w:rsidR="000941BC">
        <w:rPr>
          <w:sz w:val="28"/>
          <w:szCs w:val="28"/>
        </w:rPr>
        <w:t>3</w:t>
      </w:r>
      <w:r w:rsidRPr="00E85EB3">
        <w:rPr>
          <w:sz w:val="28"/>
          <w:szCs w:val="28"/>
        </w:rPr>
        <w:t>» апреля 202</w:t>
      </w:r>
      <w:r w:rsidR="000941BC">
        <w:rPr>
          <w:sz w:val="28"/>
          <w:szCs w:val="28"/>
        </w:rPr>
        <w:t>3</w:t>
      </w:r>
      <w:r w:rsidRPr="00E85EB3">
        <w:rPr>
          <w:sz w:val="28"/>
          <w:szCs w:val="28"/>
        </w:rPr>
        <w:t xml:space="preserve"> года по «31» мая 202</w:t>
      </w:r>
      <w:r w:rsidR="000941BC">
        <w:rPr>
          <w:sz w:val="28"/>
          <w:szCs w:val="28"/>
        </w:rPr>
        <w:t>3</w:t>
      </w:r>
      <w:r w:rsidRPr="00E85EB3">
        <w:rPr>
          <w:sz w:val="28"/>
          <w:szCs w:val="28"/>
        </w:rPr>
        <w:t xml:space="preserve"> года.</w:t>
      </w:r>
    </w:p>
    <w:p w14:paraId="52E9666D" w14:textId="77777777" w:rsidR="008A11D0" w:rsidRPr="008E3AF8" w:rsidRDefault="008A11D0" w:rsidP="00A2680A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6. По результатам </w:t>
      </w:r>
      <w:r w:rsidR="00003484" w:rsidRPr="00E85EB3">
        <w:rPr>
          <w:b/>
          <w:sz w:val="28"/>
          <w:szCs w:val="28"/>
        </w:rPr>
        <w:t>контрольного</w:t>
      </w:r>
      <w:r w:rsidR="00DA5A8D" w:rsidRPr="00E85EB3">
        <w:rPr>
          <w:b/>
          <w:sz w:val="28"/>
          <w:szCs w:val="28"/>
        </w:rPr>
        <w:t xml:space="preserve"> мероприятия</w:t>
      </w:r>
      <w:r w:rsidR="002B5084" w:rsidRPr="008E3AF8">
        <w:rPr>
          <w:b/>
          <w:sz w:val="28"/>
          <w:szCs w:val="28"/>
        </w:rPr>
        <w:t xml:space="preserve"> установлено следующее.</w:t>
      </w:r>
    </w:p>
    <w:p w14:paraId="5F0B3BF0" w14:textId="77777777" w:rsidR="00C43C82" w:rsidRDefault="00C43C82" w:rsidP="00C43C82">
      <w:pPr>
        <w:ind w:firstLine="708"/>
        <w:jc w:val="both"/>
        <w:rPr>
          <w:b/>
          <w:sz w:val="28"/>
          <w:szCs w:val="28"/>
        </w:rPr>
      </w:pPr>
      <w:r w:rsidRPr="00BB16B2">
        <w:rPr>
          <w:b/>
          <w:sz w:val="28"/>
          <w:szCs w:val="28"/>
        </w:rPr>
        <w:t xml:space="preserve">По вопросу 1. Проверка соблюдения единого порядка составления и предоставления бюджетной отчетности, предусмотренного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Pr="00BB16B2">
        <w:rPr>
          <w:b/>
          <w:sz w:val="28"/>
          <w:szCs w:val="28"/>
        </w:rPr>
        <w:lastRenderedPageBreak/>
        <w:t>Министерства финансов Российской Федерации от 28.12.2010 №191н (далее – Инструкция №191н).</w:t>
      </w:r>
    </w:p>
    <w:p w14:paraId="3CC1C27C" w14:textId="77777777" w:rsidR="000941BC" w:rsidRDefault="000941BC" w:rsidP="000941BC">
      <w:pPr>
        <w:ind w:firstLine="708"/>
        <w:jc w:val="both"/>
        <w:rPr>
          <w:sz w:val="28"/>
          <w:szCs w:val="28"/>
        </w:rPr>
      </w:pPr>
      <w:bookmarkStart w:id="1" w:name="_Hlk131760866"/>
      <w:r>
        <w:rPr>
          <w:sz w:val="28"/>
          <w:szCs w:val="28"/>
        </w:rPr>
        <w:t xml:space="preserve">Годовая бюджетная отчетность Управления архитектуры и строительства Администрации городского округа Серпухов за 2022 год представлена в Контрольно-счетную палату городского округа Серпухов в установленный законодательством Российской Федерации срок, по средствам МСЭД </w:t>
      </w: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shd w:val="clear" w:color="auto" w:fill="FFFFFF"/>
        </w:rPr>
        <w:t>межведомственной системы электронного документооборота Московской области</w:t>
      </w:r>
      <w:r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с сопроводительным письмом от 03.04.2023г. № 148-1.1.21/1900 исх.</w:t>
      </w:r>
      <w:bookmarkEnd w:id="1"/>
    </w:p>
    <w:p w14:paraId="6664226F" w14:textId="77777777" w:rsidR="000941BC" w:rsidRDefault="000941BC" w:rsidP="00094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бюджетной отчетности Управления соответствует статье 264.1 Бюджетного кодекса Российской Федерации (далее – БК РФ). Перечень форм отчетов соответствует пункту 11.1 Инструкции № 191н.</w:t>
      </w:r>
    </w:p>
    <w:p w14:paraId="1ABEAABC" w14:textId="77777777" w:rsidR="00342B32" w:rsidRDefault="00C43C82" w:rsidP="00342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 вопросу 2. </w:t>
      </w:r>
      <w:r w:rsidRPr="00BB16B2">
        <w:rPr>
          <w:b/>
          <w:sz w:val="28"/>
          <w:szCs w:val="28"/>
        </w:rPr>
        <w:t>Анализ показателей бюджетной отчетности, дебиторской и кредиторской задолженности.</w:t>
      </w:r>
    </w:p>
    <w:p w14:paraId="2365E95C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бюджетной отчетности главного распорядителя средств бюджета городского округа Серпухов – Управления архитектуры и строительства Администрации городского округа Серпухов по состоянию на 01.01.2023 года:</w:t>
      </w:r>
    </w:p>
    <w:p w14:paraId="1CDDD56E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Утвержденные бюджетные назначения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расходам бюджета (ф.0503127) отражены в размере 786 815 506,05 рублей, что соответствует плановым назначениям, утвержденным Решением Совета депутатов города Серпухова от 14.12.2021 №384/40 «О бюджете городского округа Серпухов Московской области на 2022 год и на плановый период 2023 и 2024 годов» (с изменениями):</w:t>
      </w:r>
    </w:p>
    <w:p w14:paraId="0551A4BF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бюджетных назначений через финансовые органы – 785 990 094,68 рублей, что составляет 99,89 % от утвержденных бюджетных назначений.</w:t>
      </w:r>
    </w:p>
    <w:p w14:paraId="2829E750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по ассигнованиям – 825 411,37 рублей;</w:t>
      </w:r>
    </w:p>
    <w:p w14:paraId="6A9BBD2E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по утвержденным лимитам бюджетных обязательств – 825 411,37 рублей.</w:t>
      </w:r>
    </w:p>
    <w:p w14:paraId="399DB043" w14:textId="77777777" w:rsidR="00AD0306" w:rsidRDefault="00AD0306" w:rsidP="00AD030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Дебиторская задолженность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01.01.2023г.              (ф. 0503169) сложилась в объеме 91 303 108,33 рублей и по сравнению с началом отчетного периода увеличилась на 11 701 045,32 рублей. </w:t>
      </w:r>
    </w:p>
    <w:p w14:paraId="717FC664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Пояснительной записки (ф. 0503160) увеличение дебиторской задолженности произошло в связи с авансированием по муниципальным контрактам на реконструкцию стадиона Спартак, на строительство детского сада на ул. Фрунзе и договорам на техническое присоединение водоснабжения, водоотведения и теплоснабжения строящегося детского сада на ул. Фрунзе. Просроченная задолженность отсутствует.</w:t>
      </w:r>
    </w:p>
    <w:p w14:paraId="4DEAD22E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счете 1 206 31 «Расчеты по авансам по приобретению основных средств» отражена сумма в размере 45 748 297,50 рублей по муниципальному контракту на реконструкцию стадиона Спартак, сумма в размере </w:t>
      </w:r>
      <w:r>
        <w:rPr>
          <w:sz w:val="28"/>
          <w:szCs w:val="28"/>
        </w:rPr>
        <w:lastRenderedPageBreak/>
        <w:t>38 793 996,78 рублей по муниципальному контракту на строительство детского сада на ул. Фрунзе.</w:t>
      </w:r>
    </w:p>
    <w:p w14:paraId="0533827E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Кредиторская задолженность по состоянию на 01.01.2023г.           (ф. 0503169) сложилась в объеме 1 241 518,70 рублей и уменьшилась по сравнению с началом 2022 года на 457 002,88 рублей. </w:t>
      </w:r>
    </w:p>
    <w:p w14:paraId="2421DE50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Пояснительной записки (ф. 0503160) кредиторская задолженность образовалась: </w:t>
      </w:r>
    </w:p>
    <w:p w14:paraId="425A61ED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начисленной заработной плате за вторую половину декабря в размере 652 041,94 рублей; </w:t>
      </w:r>
    </w:p>
    <w:p w14:paraId="206BAA26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налогу на доходы физических лиц в размере 194 485,00 рублей; </w:t>
      </w:r>
    </w:p>
    <w:p w14:paraId="5D6B409B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расчетам по обязательному социальному страхованию от несчастных случаев при начислении заработной платы в размере 2 992,07 рублей; </w:t>
      </w:r>
    </w:p>
    <w:p w14:paraId="769A5B1D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страховым взносам на обязательное медицинское страхование ФФОМС в размере 76 297,79 рублей; </w:t>
      </w:r>
    </w:p>
    <w:p w14:paraId="1AA65B74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при начислении заработной платы за счет страховых взносов на обязательное пенсионное страхование по выплате страховой части трудовой пенсии в размере 329 127,68 рублей;</w:t>
      </w:r>
    </w:p>
    <w:p w14:paraId="7B0F249D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при начислении страховых взносов на обязательное социальное страхование на случай временной нетрудоспособности и в связи с материнством в размере 37 545,86 рублей;</w:t>
      </w:r>
    </w:p>
    <w:p w14:paraId="0EFC9313" w14:textId="77777777" w:rsidR="00AD0306" w:rsidRDefault="00AD0306" w:rsidP="00AD0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по удержанию из оплаты труда (профсоюзные взносы) в размере 13 757,24 рубля;</w:t>
      </w:r>
    </w:p>
    <w:p w14:paraId="0AA2F315" w14:textId="77777777" w:rsidR="00AD0306" w:rsidRDefault="00AD0306" w:rsidP="00AD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налогу на имущество в размере 392 274,00 рублей.     </w:t>
      </w:r>
    </w:p>
    <w:p w14:paraId="2854226E" w14:textId="4C477641" w:rsidR="00AD0306" w:rsidRDefault="00AD0306" w:rsidP="00AD0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Просроченная кредиторская задолженность отсутствует. </w:t>
      </w:r>
    </w:p>
    <w:p w14:paraId="7A50CD1A" w14:textId="77777777" w:rsidR="00AD0306" w:rsidRDefault="00AD0306" w:rsidP="00AD03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2.1. Неэффективное использование бюджетных средств в ходе исполнения бюджетов (п. 1.2.111(р) Классификатора нарушений):</w:t>
      </w:r>
    </w:p>
    <w:p w14:paraId="5A93AAB5" w14:textId="0FF70E5E" w:rsidR="00342B32" w:rsidRDefault="00AD0306" w:rsidP="00AD0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  <w:u w:val="single"/>
        </w:rPr>
        <w:t>В нарушение статьи 34 БК РФ</w:t>
      </w:r>
      <w:r>
        <w:rPr>
          <w:sz w:val="28"/>
          <w:szCs w:val="28"/>
        </w:rPr>
        <w:t xml:space="preserve"> Управлением архитектуры и строительства Администрации городского округа Серпухов допущено неэффективное использование бюджетных средств на сумму 43 210,11 рублей в связи с оплатой пени по налогу на имущество по Требованию №10240 от 04.03.2022г.</w:t>
      </w:r>
    </w:p>
    <w:p w14:paraId="6E08C196" w14:textId="77777777" w:rsidR="00C43C82" w:rsidRPr="00BC3708" w:rsidRDefault="00C43C82" w:rsidP="00342B32">
      <w:pPr>
        <w:ind w:firstLine="708"/>
        <w:jc w:val="both"/>
        <w:rPr>
          <w:sz w:val="28"/>
          <w:szCs w:val="28"/>
        </w:rPr>
      </w:pPr>
      <w:r w:rsidRPr="00BB16B2">
        <w:rPr>
          <w:b/>
          <w:sz w:val="28"/>
          <w:szCs w:val="28"/>
        </w:rPr>
        <w:t>По вопросу 3.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либо по соответствующим регистрам бюджетного учета.</w:t>
      </w:r>
    </w:p>
    <w:p w14:paraId="06639BB2" w14:textId="77777777" w:rsidR="00AD0306" w:rsidRDefault="00AD0306" w:rsidP="00AD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Инструкции 191н бюджетная отчетность составляется на основе данных Главной книги и других регистров бюджетного учета, установленных законодательством Российской Федерации, с обязательным проведением сверки оборотов и остатков по </w:t>
      </w:r>
      <w:r>
        <w:rPr>
          <w:sz w:val="28"/>
          <w:szCs w:val="28"/>
        </w:rPr>
        <w:lastRenderedPageBreak/>
        <w:t>регистрам аналитического учета с оборотами и остатками по регистрам синтетического учета.</w:t>
      </w:r>
    </w:p>
    <w:p w14:paraId="13CABCE7" w14:textId="77777777" w:rsidR="00AD0306" w:rsidRDefault="00AD0306" w:rsidP="00AD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бюджетная отчетность Управления Архитектуры и строительства Администрации городского округа Серпухов составлена в соответствии со структурой и кодами бюджетной классификации, установленными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№191н.</w:t>
      </w:r>
    </w:p>
    <w:p w14:paraId="3E61D251" w14:textId="77777777" w:rsidR="00AD0306" w:rsidRDefault="00AD0306" w:rsidP="00AD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нарушения и недостатки, выявленные в ходе внешней проверки, не оказали существенного влияния на достоверность данных годовой бюджетной отчетности.</w:t>
      </w:r>
    </w:p>
    <w:p w14:paraId="66BFBF17" w14:textId="60D0F146" w:rsidR="00C43C82" w:rsidRDefault="00C43C82" w:rsidP="00C43C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14:paraId="0A3B4CE6" w14:textId="04573A7D" w:rsidR="003C2F49" w:rsidRDefault="003C2F49" w:rsidP="003C2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Состав бюджетной отчетности Управления архитектуры и строительства Администрации городского округа Серпухов, соответствует статье 264.1 Бюджетного кодекса Российской Федерации.</w:t>
      </w:r>
    </w:p>
    <w:p w14:paraId="2001D98A" w14:textId="178E06FB" w:rsidR="003C2F49" w:rsidRDefault="003C2F49" w:rsidP="003C2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Бюджетная отчетность Управления архитектуры и строительства Администрации городского округа Серпухов составлена в соответствии с требованиями пункта 7 Инструкции № 191н. Показатели бюджетной отчетности соответствуют данным Главной книги и другим регистрам бюджетного учета.</w:t>
      </w:r>
    </w:p>
    <w:p w14:paraId="02034FA4" w14:textId="3AA0E3E8" w:rsidR="003C2F49" w:rsidRDefault="003C2F49" w:rsidP="003C2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Отдельные недостатки в части формирования отдельных разделов пояснительной записки, выявленные в ходе внешней проверки, не оказали существенного влияния на достоверность данных годовой бюджетной отчетности. </w:t>
      </w:r>
    </w:p>
    <w:p w14:paraId="32DA4F28" w14:textId="77777777" w:rsidR="00342B32" w:rsidRDefault="00342B32" w:rsidP="00342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контрольного мероприятия были направлены информационные письма в Совет депутатов городского округа Серпухов, Главе городского округа Серпухов и в Управление </w:t>
      </w:r>
      <w:r w:rsidRPr="00347198">
        <w:rPr>
          <w:sz w:val="28"/>
          <w:szCs w:val="28"/>
        </w:rPr>
        <w:t>архитектуры и строительства Администрации городского округа Серпухов</w:t>
      </w:r>
      <w:r>
        <w:rPr>
          <w:sz w:val="28"/>
          <w:szCs w:val="28"/>
        </w:rPr>
        <w:t>.</w:t>
      </w:r>
    </w:p>
    <w:p w14:paraId="7C1B6DC5" w14:textId="77777777" w:rsidR="00342B32" w:rsidRPr="0039065A" w:rsidRDefault="00342B32" w:rsidP="0034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065A">
        <w:rPr>
          <w:sz w:val="28"/>
          <w:szCs w:val="28"/>
        </w:rPr>
        <w:t>тчет о результатах контрольного мероприятия для сведения</w:t>
      </w:r>
      <w:r>
        <w:rPr>
          <w:sz w:val="28"/>
          <w:szCs w:val="28"/>
        </w:rPr>
        <w:t xml:space="preserve"> направлен</w:t>
      </w:r>
      <w:r w:rsidRPr="0039065A">
        <w:rPr>
          <w:sz w:val="28"/>
          <w:szCs w:val="28"/>
        </w:rPr>
        <w:t xml:space="preserve"> в Серпуховскую городскую прокуратуру. </w:t>
      </w:r>
    </w:p>
    <w:p w14:paraId="434F2044" w14:textId="77777777" w:rsidR="00342B32" w:rsidRDefault="00342B32" w:rsidP="00342B32">
      <w:pPr>
        <w:jc w:val="both"/>
        <w:rPr>
          <w:sz w:val="28"/>
          <w:szCs w:val="28"/>
        </w:rPr>
      </w:pPr>
    </w:p>
    <w:p w14:paraId="4D95BABA" w14:textId="77777777" w:rsidR="00CE58FC" w:rsidRPr="008A11D0" w:rsidRDefault="00CE58FC" w:rsidP="008A11D0">
      <w:pPr>
        <w:jc w:val="both"/>
        <w:rPr>
          <w:sz w:val="28"/>
          <w:szCs w:val="28"/>
        </w:rPr>
      </w:pPr>
    </w:p>
    <w:sectPr w:rsidR="00CE58FC" w:rsidRPr="008A11D0" w:rsidSect="00AE3C8D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C9D0" w14:textId="77777777" w:rsidR="003F3F70" w:rsidRDefault="003F3F70" w:rsidP="002B5084">
      <w:r>
        <w:separator/>
      </w:r>
    </w:p>
  </w:endnote>
  <w:endnote w:type="continuationSeparator" w:id="0">
    <w:p w14:paraId="3123C3D4" w14:textId="77777777" w:rsidR="003F3F70" w:rsidRDefault="003F3F70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97C5" w14:textId="77777777" w:rsidR="003F3F70" w:rsidRDefault="003F3F70" w:rsidP="002B5084">
      <w:r>
        <w:separator/>
      </w:r>
    </w:p>
  </w:footnote>
  <w:footnote w:type="continuationSeparator" w:id="0">
    <w:p w14:paraId="035A5E8F" w14:textId="77777777" w:rsidR="003F3F70" w:rsidRDefault="003F3F70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48B4B6F8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45">
          <w:rPr>
            <w:noProof/>
          </w:rPr>
          <w:t>4</w:t>
        </w:r>
        <w:r>
          <w:fldChar w:fldCharType="end"/>
        </w:r>
      </w:p>
    </w:sdtContent>
  </w:sdt>
  <w:p w14:paraId="57DC3304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3484"/>
    <w:rsid w:val="000073BB"/>
    <w:rsid w:val="0001377F"/>
    <w:rsid w:val="00022E50"/>
    <w:rsid w:val="000941BC"/>
    <w:rsid w:val="000A2D22"/>
    <w:rsid w:val="000D7311"/>
    <w:rsid w:val="000E5463"/>
    <w:rsid w:val="000F1574"/>
    <w:rsid w:val="000F2261"/>
    <w:rsid w:val="000F3F8B"/>
    <w:rsid w:val="001246C1"/>
    <w:rsid w:val="0014799C"/>
    <w:rsid w:val="001830AF"/>
    <w:rsid w:val="00186C00"/>
    <w:rsid w:val="001B2138"/>
    <w:rsid w:val="001B77D4"/>
    <w:rsid w:val="001C2C3A"/>
    <w:rsid w:val="00206416"/>
    <w:rsid w:val="00260CA1"/>
    <w:rsid w:val="00261FF8"/>
    <w:rsid w:val="002646AD"/>
    <w:rsid w:val="00286145"/>
    <w:rsid w:val="00296DBD"/>
    <w:rsid w:val="002A19F2"/>
    <w:rsid w:val="002B5084"/>
    <w:rsid w:val="002D2AF6"/>
    <w:rsid w:val="002D4A53"/>
    <w:rsid w:val="003145EC"/>
    <w:rsid w:val="003171E4"/>
    <w:rsid w:val="0032754A"/>
    <w:rsid w:val="00330393"/>
    <w:rsid w:val="00341B70"/>
    <w:rsid w:val="00342B32"/>
    <w:rsid w:val="0036001E"/>
    <w:rsid w:val="003752D5"/>
    <w:rsid w:val="003921A5"/>
    <w:rsid w:val="003C2F49"/>
    <w:rsid w:val="003C4174"/>
    <w:rsid w:val="003F3F70"/>
    <w:rsid w:val="003F7439"/>
    <w:rsid w:val="004207FF"/>
    <w:rsid w:val="00422617"/>
    <w:rsid w:val="00430775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393E"/>
    <w:rsid w:val="00707D97"/>
    <w:rsid w:val="00716C11"/>
    <w:rsid w:val="00720991"/>
    <w:rsid w:val="00751224"/>
    <w:rsid w:val="007576B3"/>
    <w:rsid w:val="00760B07"/>
    <w:rsid w:val="007A3236"/>
    <w:rsid w:val="007B6BA1"/>
    <w:rsid w:val="007C6DC1"/>
    <w:rsid w:val="008A11D0"/>
    <w:rsid w:val="008C0154"/>
    <w:rsid w:val="008E3467"/>
    <w:rsid w:val="008E3AF8"/>
    <w:rsid w:val="008F1039"/>
    <w:rsid w:val="0090529A"/>
    <w:rsid w:val="00916EF6"/>
    <w:rsid w:val="00932B1D"/>
    <w:rsid w:val="00957446"/>
    <w:rsid w:val="0096032F"/>
    <w:rsid w:val="009613BC"/>
    <w:rsid w:val="009668FC"/>
    <w:rsid w:val="00986747"/>
    <w:rsid w:val="009A530C"/>
    <w:rsid w:val="009B6883"/>
    <w:rsid w:val="009B7724"/>
    <w:rsid w:val="009C7B3E"/>
    <w:rsid w:val="00A2680A"/>
    <w:rsid w:val="00A27DD8"/>
    <w:rsid w:val="00A70DBF"/>
    <w:rsid w:val="00A775C8"/>
    <w:rsid w:val="00A8026C"/>
    <w:rsid w:val="00A84809"/>
    <w:rsid w:val="00AB6D15"/>
    <w:rsid w:val="00AD0306"/>
    <w:rsid w:val="00AD21EA"/>
    <w:rsid w:val="00AD393A"/>
    <w:rsid w:val="00AD3AAC"/>
    <w:rsid w:val="00AD57FA"/>
    <w:rsid w:val="00AD774C"/>
    <w:rsid w:val="00AE1FE4"/>
    <w:rsid w:val="00AE29AB"/>
    <w:rsid w:val="00AE3C8D"/>
    <w:rsid w:val="00AE7D76"/>
    <w:rsid w:val="00AF6A7E"/>
    <w:rsid w:val="00B13CE1"/>
    <w:rsid w:val="00B20341"/>
    <w:rsid w:val="00B2185E"/>
    <w:rsid w:val="00B43DD8"/>
    <w:rsid w:val="00B90199"/>
    <w:rsid w:val="00BD223E"/>
    <w:rsid w:val="00BD7766"/>
    <w:rsid w:val="00BE031C"/>
    <w:rsid w:val="00BE52E4"/>
    <w:rsid w:val="00BF5C43"/>
    <w:rsid w:val="00C43C82"/>
    <w:rsid w:val="00C7210F"/>
    <w:rsid w:val="00C75430"/>
    <w:rsid w:val="00C835AF"/>
    <w:rsid w:val="00C9194C"/>
    <w:rsid w:val="00CA08D2"/>
    <w:rsid w:val="00CB2C55"/>
    <w:rsid w:val="00CB51DA"/>
    <w:rsid w:val="00CE0213"/>
    <w:rsid w:val="00CE504B"/>
    <w:rsid w:val="00CE58FC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2263D"/>
    <w:rsid w:val="00E40BC1"/>
    <w:rsid w:val="00E433F6"/>
    <w:rsid w:val="00E43460"/>
    <w:rsid w:val="00E67EF1"/>
    <w:rsid w:val="00E85EB3"/>
    <w:rsid w:val="00E912A3"/>
    <w:rsid w:val="00EA63F8"/>
    <w:rsid w:val="00ED563B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FBF2"/>
  <w15:docId w15:val="{E44600FD-11C7-4C73-9938-1C3F886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5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paragraph" w:customStyle="1" w:styleId="11">
    <w:name w:val="Должность1"/>
    <w:basedOn w:val="a"/>
    <w:uiPriority w:val="99"/>
    <w:rsid w:val="00BD223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B43DD8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E58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EB5D-6082-4C7A-8719-BB971124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50</cp:revision>
  <cp:lastPrinted>2020-06-02T08:20:00Z</cp:lastPrinted>
  <dcterms:created xsi:type="dcterms:W3CDTF">2018-12-26T13:29:00Z</dcterms:created>
  <dcterms:modified xsi:type="dcterms:W3CDTF">2023-06-22T11:25:00Z</dcterms:modified>
</cp:coreProperties>
</file>